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C5" w:rsidRDefault="003F1105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苏州农商银行</w:t>
      </w:r>
    </w:p>
    <w:p w:rsidR="007A15C5" w:rsidRDefault="003F110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年第一季度第三支柱信息披露报告</w:t>
      </w:r>
    </w:p>
    <w:p w:rsidR="007A15C5" w:rsidRDefault="007A15C5">
      <w:pPr>
        <w:rPr>
          <w:rFonts w:ascii="仿宋" w:eastAsia="仿宋" w:hAnsi="仿宋" w:cs="仿宋"/>
          <w:sz w:val="32"/>
          <w:szCs w:val="32"/>
        </w:rPr>
      </w:pPr>
    </w:p>
    <w:p w:rsidR="007A15C5" w:rsidRDefault="003F11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非国内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系统重要性银行，根据《商业银行资本管理办法》（以下简称“办法”）附件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《商业银行信息披露内容和要求》的规定，公司按照办法第三章规定的并表范围披露相关信息。</w:t>
      </w:r>
    </w:p>
    <w:p w:rsidR="007A15C5" w:rsidRDefault="003F110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根据办法，公司首次披露相关信息，无需对前期数据追溯披露。本季度公司需披露的报表如下：</w:t>
      </w:r>
    </w:p>
    <w:p w:rsidR="007A15C5" w:rsidRDefault="007A15C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A15C5" w:rsidRDefault="003F110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附表</w:t>
      </w:r>
      <w:proofErr w:type="gramStart"/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一</w:t>
      </w:r>
      <w:proofErr w:type="gramEnd"/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：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KM1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监管并</w:t>
      </w:r>
      <w:proofErr w:type="gramStart"/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表关键</w:t>
      </w:r>
      <w:proofErr w:type="gramEnd"/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审慎监管指标</w:t>
      </w:r>
    </w:p>
    <w:p w:rsidR="007A15C5" w:rsidRDefault="003F1105">
      <w:pPr>
        <w:snapToGrid w:val="0"/>
        <w:spacing w:line="480" w:lineRule="exact"/>
        <w:jc w:val="righ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单位：千元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6"/>
        <w:gridCol w:w="2551"/>
      </w:tblGrid>
      <w:tr w:rsidR="007A15C5">
        <w:trPr>
          <w:trHeight w:val="465"/>
        </w:trPr>
        <w:tc>
          <w:tcPr>
            <w:tcW w:w="5813" w:type="dxa"/>
            <w:gridSpan w:val="2"/>
            <w:vMerge w:val="restart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 xml:space="preserve">　</w:t>
            </w:r>
          </w:p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a</w:t>
            </w:r>
          </w:p>
        </w:tc>
      </w:tr>
      <w:tr w:rsidR="007A15C5">
        <w:trPr>
          <w:trHeight w:val="375"/>
        </w:trPr>
        <w:tc>
          <w:tcPr>
            <w:tcW w:w="5813" w:type="dxa"/>
            <w:gridSpan w:val="2"/>
            <w:vMerge/>
          </w:tcPr>
          <w:p w:rsidR="007A15C5" w:rsidRDefault="007A15C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T</w:t>
            </w:r>
          </w:p>
        </w:tc>
      </w:tr>
      <w:tr w:rsidR="007A15C5">
        <w:trPr>
          <w:trHeight w:val="313"/>
        </w:trPr>
        <w:tc>
          <w:tcPr>
            <w:tcW w:w="8364" w:type="dxa"/>
            <w:gridSpan w:val="3"/>
            <w:shd w:val="clear" w:color="000000" w:fill="D9D9D9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可用资本（</w:t>
            </w: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数</w:t>
            </w: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额）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核心一级资本净额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15336438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一级资本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净额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15340324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资本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净额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17842159</w:t>
            </w:r>
          </w:p>
        </w:tc>
      </w:tr>
      <w:tr w:rsidR="007A15C5">
        <w:trPr>
          <w:trHeight w:val="261"/>
        </w:trPr>
        <w:tc>
          <w:tcPr>
            <w:tcW w:w="5813" w:type="dxa"/>
            <w:gridSpan w:val="2"/>
            <w:shd w:val="clear" w:color="000000" w:fill="D9D9D9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000000" w:fill="D9D9D9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风险加权资产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151787425</w:t>
            </w:r>
          </w:p>
        </w:tc>
      </w:tr>
      <w:tr w:rsidR="007A15C5">
        <w:trPr>
          <w:trHeight w:val="277"/>
        </w:trPr>
        <w:tc>
          <w:tcPr>
            <w:tcW w:w="5813" w:type="dxa"/>
            <w:gridSpan w:val="2"/>
            <w:shd w:val="clear" w:color="000000" w:fill="D9D9D9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000000" w:fill="D9D9D9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455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核心一级资本充足率（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10.10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一级资本充足率（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10.11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资本充足率（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11.75</w:t>
            </w:r>
          </w:p>
        </w:tc>
      </w:tr>
      <w:tr w:rsidR="007A15C5">
        <w:trPr>
          <w:trHeight w:val="312"/>
        </w:trPr>
        <w:tc>
          <w:tcPr>
            <w:tcW w:w="5813" w:type="dxa"/>
            <w:gridSpan w:val="2"/>
            <w:shd w:val="clear" w:color="000000" w:fill="D9D9D9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000000" w:fill="D9D9D9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355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储备资本要求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2.50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逆周期资本要求（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0.00</w:t>
            </w:r>
          </w:p>
        </w:tc>
      </w:tr>
      <w:tr w:rsidR="007A15C5">
        <w:trPr>
          <w:trHeight w:val="660"/>
        </w:trPr>
        <w:tc>
          <w:tcPr>
            <w:tcW w:w="817" w:type="dxa"/>
            <w:shd w:val="clear" w:color="auto" w:fill="auto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全球系统重要性银行或国内系统重要性银行附加资本要求（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shd w:val="clear" w:color="auto" w:fill="BEBEBE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0.00</w:t>
            </w:r>
          </w:p>
        </w:tc>
      </w:tr>
      <w:tr w:rsidR="007A15C5">
        <w:trPr>
          <w:trHeight w:val="351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其他各级资本要求（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8+9+10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2.50</w:t>
            </w:r>
          </w:p>
        </w:tc>
      </w:tr>
      <w:tr w:rsidR="007A15C5">
        <w:trPr>
          <w:trHeight w:val="389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满足最低资本要求后的可用核心一级资本净额</w:t>
            </w:r>
            <w:proofErr w:type="gram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占风险</w:t>
            </w:r>
            <w:proofErr w:type="gram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加权资产的比例（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5.10</w:t>
            </w:r>
          </w:p>
        </w:tc>
      </w:tr>
      <w:tr w:rsidR="007A15C5">
        <w:trPr>
          <w:trHeight w:val="263"/>
        </w:trPr>
        <w:tc>
          <w:tcPr>
            <w:tcW w:w="5813" w:type="dxa"/>
            <w:gridSpan w:val="2"/>
            <w:shd w:val="clear" w:color="000000" w:fill="D9D9D9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000000" w:fill="D9D9D9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调整后表内外资产余额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235765228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杠杆率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6.51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杠杆率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6.51</w:t>
            </w:r>
          </w:p>
        </w:tc>
      </w:tr>
      <w:tr w:rsidR="007A15C5">
        <w:trPr>
          <w:trHeight w:val="330"/>
        </w:trPr>
        <w:tc>
          <w:tcPr>
            <w:tcW w:w="5813" w:type="dxa"/>
            <w:gridSpan w:val="2"/>
            <w:shd w:val="clear" w:color="000000" w:fill="D9D9D9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000000" w:fill="D9D9D9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合格优质流动性资产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29006207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现金净流出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量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22697419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流动性覆盖率（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127.80</w:t>
            </w:r>
          </w:p>
        </w:tc>
      </w:tr>
      <w:tr w:rsidR="007A15C5">
        <w:trPr>
          <w:trHeight w:val="330"/>
        </w:trPr>
        <w:tc>
          <w:tcPr>
            <w:tcW w:w="5813" w:type="dxa"/>
            <w:gridSpan w:val="2"/>
            <w:shd w:val="clear" w:color="000000" w:fill="D9D9D9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000000" w:fill="D9D9D9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可用稳定资金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147987198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所需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稳定资金</w:t>
            </w: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95370262</w:t>
            </w:r>
          </w:p>
        </w:tc>
      </w:tr>
      <w:tr w:rsidR="007A15C5">
        <w:trPr>
          <w:trHeight w:val="330"/>
        </w:trPr>
        <w:tc>
          <w:tcPr>
            <w:tcW w:w="817" w:type="dxa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996" w:type="dxa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净稳定</w:t>
            </w:r>
            <w:proofErr w:type="gramEnd"/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资金比例（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155.17</w:t>
            </w:r>
          </w:p>
        </w:tc>
      </w:tr>
      <w:tr w:rsidR="007A15C5">
        <w:trPr>
          <w:trHeight w:val="330"/>
        </w:trPr>
        <w:tc>
          <w:tcPr>
            <w:tcW w:w="5813" w:type="dxa"/>
            <w:gridSpan w:val="2"/>
            <w:shd w:val="clear" w:color="auto" w:fill="D8D8D8"/>
          </w:tcPr>
          <w:p w:rsidR="007A15C5" w:rsidRDefault="007A15C5">
            <w:pPr>
              <w:rPr>
                <w:rFonts w:ascii="仿宋_GB2312" w:eastAsia="仿宋_GB2312" w:hAnsi="仿宋" w:cs="Arial Unicode MS"/>
                <w:color w:val="000000" w:themeColor="text1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D8D8D8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330"/>
        </w:trPr>
        <w:tc>
          <w:tcPr>
            <w:tcW w:w="817" w:type="dxa"/>
            <w:shd w:val="clear" w:color="auto" w:fill="FFFFFF"/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996" w:type="dxa"/>
            <w:shd w:val="clear" w:color="auto" w:fill="FFFFFF"/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流动性比例（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%</w:t>
            </w: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551" w:type="dxa"/>
            <w:shd w:val="clear" w:color="auto" w:fill="FFFFFF"/>
            <w:vAlign w:val="bottom"/>
          </w:tcPr>
          <w:p w:rsidR="007A15C5" w:rsidRDefault="003F1105">
            <w:pPr>
              <w:widowControl/>
              <w:jc w:val="center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93.61</w:t>
            </w:r>
          </w:p>
        </w:tc>
      </w:tr>
    </w:tbl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3F110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lastRenderedPageBreak/>
        <w:t>附表二：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OV1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风险加权资产概况</w:t>
      </w:r>
    </w:p>
    <w:p w:rsidR="007A15C5" w:rsidRDefault="003F1105">
      <w:pPr>
        <w:snapToGrid w:val="0"/>
        <w:spacing w:line="480" w:lineRule="exact"/>
        <w:jc w:val="righ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单位：千元</w:t>
      </w:r>
    </w:p>
    <w:tbl>
      <w:tblPr>
        <w:tblW w:w="8476" w:type="dxa"/>
        <w:tblLayout w:type="fixed"/>
        <w:tblLook w:val="04A0" w:firstRow="1" w:lastRow="0" w:firstColumn="1" w:lastColumn="0" w:noHBand="0" w:noVBand="1"/>
      </w:tblPr>
      <w:tblGrid>
        <w:gridCol w:w="579"/>
        <w:gridCol w:w="4050"/>
        <w:gridCol w:w="1986"/>
        <w:gridCol w:w="1861"/>
      </w:tblGrid>
      <w:tr w:rsidR="007A15C5">
        <w:trPr>
          <w:trHeight w:val="330"/>
        </w:trPr>
        <w:tc>
          <w:tcPr>
            <w:tcW w:w="462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 xml:space="preserve">　</w:t>
            </w:r>
          </w:p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 xml:space="preserve">　</w:t>
            </w:r>
          </w:p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c</w:t>
            </w:r>
          </w:p>
        </w:tc>
      </w:tr>
      <w:tr w:rsidR="007A15C5">
        <w:trPr>
          <w:trHeight w:val="330"/>
        </w:trPr>
        <w:tc>
          <w:tcPr>
            <w:tcW w:w="4629" w:type="dxa"/>
            <w:gridSpan w:val="2"/>
            <w:vMerge/>
            <w:tcBorders>
              <w:right w:val="single" w:sz="4" w:space="0" w:color="auto"/>
            </w:tcBorders>
          </w:tcPr>
          <w:p w:rsidR="007A15C5" w:rsidRDefault="007A15C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风险加权资产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ind w:left="-295" w:firstLine="295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最低资本要求</w:t>
            </w:r>
          </w:p>
        </w:tc>
      </w:tr>
      <w:tr w:rsidR="007A15C5">
        <w:trPr>
          <w:trHeight w:val="330"/>
        </w:trPr>
        <w:tc>
          <w:tcPr>
            <w:tcW w:w="46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15C5" w:rsidRDefault="007A15C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T</w:t>
            </w:r>
          </w:p>
        </w:tc>
      </w:tr>
      <w:tr w:rsidR="007A15C5">
        <w:trPr>
          <w:trHeight w:val="330"/>
        </w:trPr>
        <w:tc>
          <w:tcPr>
            <w:tcW w:w="5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信用风险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13714733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1097179</w:t>
            </w:r>
          </w:p>
        </w:tc>
      </w:tr>
      <w:tr w:rsidR="007A15C5">
        <w:trPr>
          <w:trHeight w:val="330"/>
        </w:trPr>
        <w:tc>
          <w:tcPr>
            <w:tcW w:w="5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市场风险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721753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57740</w:t>
            </w:r>
          </w:p>
        </w:tc>
      </w:tr>
      <w:tr w:rsidR="007A15C5">
        <w:trPr>
          <w:trHeight w:val="330"/>
        </w:trPr>
        <w:tc>
          <w:tcPr>
            <w:tcW w:w="5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操作风险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742257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59381</w:t>
            </w:r>
          </w:p>
        </w:tc>
      </w:tr>
      <w:tr w:rsidR="007A15C5">
        <w:trPr>
          <w:trHeight w:val="330"/>
        </w:trPr>
        <w:tc>
          <w:tcPr>
            <w:tcW w:w="5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color w:val="000000" w:themeColor="text1"/>
                <w:sz w:val="28"/>
                <w:szCs w:val="28"/>
              </w:rPr>
              <w:t>交易账簿和银行账簿间转换的资本要求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330"/>
        </w:trPr>
        <w:tc>
          <w:tcPr>
            <w:tcW w:w="5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仿宋" w:cs="Arial Unicode MS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15178743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仿宋_GB2312" w:eastAsia="仿宋_GB2312" w:hAnsi="仿宋" w:cs="Arial Unicode MS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1214299</w:t>
            </w:r>
          </w:p>
        </w:tc>
      </w:tr>
    </w:tbl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3F110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附表三：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LR1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杠杆率监管项目与相关会计项目的差异</w:t>
      </w:r>
    </w:p>
    <w:p w:rsidR="007A15C5" w:rsidRDefault="003F1105">
      <w:pPr>
        <w:snapToGrid w:val="0"/>
        <w:spacing w:line="480" w:lineRule="exact"/>
        <w:jc w:val="righ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单位：千元</w:t>
      </w:r>
    </w:p>
    <w:tbl>
      <w:tblPr>
        <w:tblW w:w="8476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985"/>
        <w:gridCol w:w="1932"/>
      </w:tblGrid>
      <w:tr w:rsidR="007A15C5">
        <w:trPr>
          <w:trHeight w:val="336"/>
        </w:trPr>
        <w:tc>
          <w:tcPr>
            <w:tcW w:w="6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7A15C5">
            <w:pPr>
              <w:snapToGrid w:val="0"/>
              <w:spacing w:line="480" w:lineRule="exact"/>
              <w:jc w:val="center"/>
              <w:rPr>
                <w:rFonts w:ascii="仿宋_GB2312" w:eastAsia="仿宋_GB2312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a</w:t>
            </w:r>
          </w:p>
        </w:tc>
      </w:tr>
      <w:tr w:rsidR="007A15C5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Segoe UI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并表总资产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211759347</w:t>
            </w:r>
          </w:p>
        </w:tc>
      </w:tr>
      <w:tr w:rsidR="007A15C5">
        <w:trPr>
          <w:trHeight w:val="277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Segoe U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并</w:t>
            </w:r>
            <w:proofErr w:type="gramStart"/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表调整项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87360</w:t>
            </w:r>
          </w:p>
        </w:tc>
      </w:tr>
      <w:tr w:rsidR="007A15C5">
        <w:trPr>
          <w:trHeight w:val="267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Segoe U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客户资产调整项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343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Segoe U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衍生工具调整项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43628</w:t>
            </w:r>
          </w:p>
        </w:tc>
      </w:tr>
      <w:tr w:rsidR="007A15C5">
        <w:trPr>
          <w:trHeight w:val="243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Segoe U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证券融资交易调整项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表外项目调整项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24962035</w:t>
            </w:r>
          </w:p>
        </w:tc>
      </w:tr>
      <w:tr w:rsidR="007A15C5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资产证券化交易调整项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未结算金融资产调整项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304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现金</w:t>
            </w:r>
            <w:proofErr w:type="gramStart"/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池调整项</w:t>
            </w:r>
            <w:proofErr w:type="gramEnd"/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263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存款准备金调整项（如有）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339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Segoe UI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审慎估值和减值准备调整项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-1087142</w:t>
            </w:r>
          </w:p>
        </w:tc>
      </w:tr>
      <w:tr w:rsidR="007A15C5">
        <w:trPr>
          <w:trHeight w:val="339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cs="Segoe UI" w:hint="eastAsia"/>
                <w:color w:val="000000" w:themeColor="text1"/>
                <w:sz w:val="28"/>
                <w:szCs w:val="28"/>
              </w:rPr>
              <w:t>其他调整项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7A15C5">
            <w:pPr>
              <w:rPr>
                <w:rFonts w:ascii="Arial" w:eastAsia="仿宋_GB2312" w:hAnsi="Arial" w:cs="Arial"/>
                <w:color w:val="000000" w:themeColor="text1"/>
                <w:sz w:val="24"/>
              </w:rPr>
            </w:pPr>
          </w:p>
        </w:tc>
      </w:tr>
      <w:tr w:rsidR="007A15C5">
        <w:trPr>
          <w:trHeight w:val="312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8"/>
                <w:szCs w:val="28"/>
              </w:rPr>
              <w:t>调整后表内外资产余额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b/>
                <w:bCs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235765228</w:t>
            </w:r>
          </w:p>
        </w:tc>
      </w:tr>
    </w:tbl>
    <w:p w:rsidR="007A15C5" w:rsidRDefault="007A15C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</w:p>
    <w:p w:rsidR="007A15C5" w:rsidRDefault="007A15C5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A15C5" w:rsidRDefault="003F1105">
      <w:pPr>
        <w:snapToGrid w:val="0"/>
        <w:spacing w:line="480" w:lineRule="exac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附表四：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LR2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杠杆率</w:t>
      </w:r>
    </w:p>
    <w:p w:rsidR="007A15C5" w:rsidRDefault="003F1105">
      <w:pPr>
        <w:snapToGrid w:val="0"/>
        <w:spacing w:line="480" w:lineRule="exact"/>
        <w:jc w:val="right"/>
        <w:outlineLvl w:val="1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单位：千元</w:t>
      </w:r>
    </w:p>
    <w:tbl>
      <w:tblPr>
        <w:tblW w:w="8309" w:type="dxa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88"/>
      </w:tblGrid>
      <w:tr w:rsidR="007A15C5">
        <w:trPr>
          <w:trHeight w:val="336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a</w:t>
            </w:r>
          </w:p>
        </w:tc>
      </w:tr>
      <w:tr w:rsidR="007A15C5">
        <w:trPr>
          <w:trHeight w:val="336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7A15C5">
            <w:pPr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T</w:t>
            </w:r>
          </w:p>
        </w:tc>
      </w:tr>
      <w:tr w:rsidR="007A15C5">
        <w:trPr>
          <w:trHeight w:val="336"/>
        </w:trPr>
        <w:tc>
          <w:tcPr>
            <w:tcW w:w="8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sz w:val="28"/>
                <w:szCs w:val="28"/>
              </w:rPr>
              <w:t>表内资产余额</w:t>
            </w:r>
          </w:p>
        </w:tc>
      </w:tr>
      <w:tr w:rsidR="007A15C5">
        <w:trPr>
          <w:trHeight w:val="38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表内资产（除衍生工具和证券融资交易外）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216206351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减：减值准备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-4876639</w:t>
            </w:r>
          </w:p>
        </w:tc>
      </w:tr>
      <w:tr w:rsidR="007A15C5">
        <w:trPr>
          <w:trHeight w:val="346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减：一级资本扣除项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-837264</w:t>
            </w:r>
          </w:p>
        </w:tc>
      </w:tr>
      <w:tr w:rsidR="007A15C5">
        <w:trPr>
          <w:trHeight w:val="9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8"/>
                <w:szCs w:val="28"/>
              </w:rPr>
              <w:t>调整后的表内资产余额（衍生工具和证券融资交易除外）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210492448</w:t>
            </w:r>
          </w:p>
        </w:tc>
      </w:tr>
      <w:tr w:rsidR="007A15C5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仿宋_GB2312" w:eastAsia="仿宋_GB2312" w:cs="宋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9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各类衍生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工具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的重置成本（扣除合格保证金，考虑双边净额结算协议的影响）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79840</w:t>
            </w:r>
          </w:p>
        </w:tc>
      </w:tr>
      <w:tr w:rsidR="007A15C5">
        <w:trPr>
          <w:trHeight w:val="27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各类衍生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工具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的潜在风险暴露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244837</w:t>
            </w:r>
          </w:p>
        </w:tc>
      </w:tr>
      <w:tr w:rsidR="007A15C5">
        <w:trPr>
          <w:trHeight w:val="48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已从资产负债表中扣除的抵质押品总和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402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减：因提供合格保证金形成的应收资产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564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减：为客户提供清算服务时与中央交易对手交易形成的衍生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工具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卖出信用衍生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工具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的名义本金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299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减：可扣除的卖出信用衍生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8"/>
                <w:szCs w:val="28"/>
              </w:rPr>
              <w:t>工具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8"/>
                <w:szCs w:val="28"/>
              </w:rPr>
              <w:t>衍生</w:t>
            </w:r>
            <w:r>
              <w:rPr>
                <w:rFonts w:ascii="仿宋_GB2312" w:eastAsia="仿宋_GB2312" w:hAnsi="宋体" w:cs="宋体" w:hint="eastAsia"/>
                <w:b/>
                <w:color w:val="000000" w:themeColor="text1"/>
                <w:sz w:val="28"/>
                <w:szCs w:val="28"/>
              </w:rPr>
              <w:t>工具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8"/>
                <w:szCs w:val="28"/>
              </w:rPr>
              <w:t>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324677</w:t>
            </w:r>
          </w:p>
        </w:tc>
      </w:tr>
      <w:tr w:rsidR="007A15C5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仿宋_GB2312" w:eastAsia="仿宋_GB2312" w:cs="宋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9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证券融资交易的会计资产余额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减：可以扣除的证券融资交易资产余额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证券融资交易的交易对手信用风险暴露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235947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代理证券融资交易形成的证券融资交易资产余额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8"/>
                <w:szCs w:val="28"/>
              </w:rPr>
              <w:t>证券融资交易资产余额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235947</w:t>
            </w:r>
          </w:p>
        </w:tc>
      </w:tr>
      <w:tr w:rsidR="007A15C5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仿宋_GB2312" w:eastAsia="仿宋_GB2312" w:cs="宋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表外项目余额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54071858</w:t>
            </w:r>
          </w:p>
        </w:tc>
      </w:tr>
      <w:tr w:rsidR="007A15C5">
        <w:trPr>
          <w:trHeight w:val="9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减：因信用转换调整的表外项目余额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-29109823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减：减值准备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-249879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8"/>
                <w:szCs w:val="28"/>
              </w:rPr>
              <w:t>调整后的表外项目余额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24712156</w:t>
            </w:r>
          </w:p>
        </w:tc>
      </w:tr>
      <w:tr w:rsidR="007A15C5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仿宋_GB2312" w:eastAsia="仿宋_GB2312" w:cs="宋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一级资本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净额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15340324</w:t>
            </w:r>
          </w:p>
        </w:tc>
      </w:tr>
      <w:tr w:rsidR="007A15C5">
        <w:trPr>
          <w:trHeight w:val="399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调整后表内外资产余额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235765228</w:t>
            </w:r>
          </w:p>
        </w:tc>
      </w:tr>
      <w:tr w:rsidR="007A15C5">
        <w:trPr>
          <w:trHeight w:val="288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仿宋_GB2312" w:eastAsia="仿宋_GB2312" w:cs="宋体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7A15C5" w:rsidRDefault="007A15C5">
            <w:pPr>
              <w:rPr>
                <w:rFonts w:ascii="Arial" w:hAnsi="Arial" w:cs="Arial"/>
                <w:sz w:val="24"/>
              </w:rPr>
            </w:pP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杠杆率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6.51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杠杆率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6.51</w:t>
            </w:r>
          </w:p>
        </w:tc>
      </w:tr>
      <w:tr w:rsidR="007A15C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5C5" w:rsidRDefault="003F1105">
            <w:pPr>
              <w:snapToGrid w:val="0"/>
              <w:spacing w:line="480" w:lineRule="exact"/>
              <w:rPr>
                <w:rFonts w:ascii="仿宋_GB2312" w:eastAsia="仿宋_GB2312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28"/>
                <w:szCs w:val="28"/>
              </w:rPr>
              <w:t>最低杠杆率要求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15C5" w:rsidRDefault="003F1105">
            <w:pPr>
              <w:widowControl/>
              <w:jc w:val="right"/>
              <w:textAlignment w:val="bottom"/>
              <w:rPr>
                <w:rFonts w:ascii="Arial" w:eastAsia="仿宋_GB2312" w:hAnsi="Arial" w:cs="Arial"/>
                <w:color w:val="000000" w:themeColor="text1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4.00</w:t>
            </w:r>
          </w:p>
        </w:tc>
      </w:tr>
    </w:tbl>
    <w:p w:rsidR="007A15C5" w:rsidRDefault="007A15C5">
      <w:pPr>
        <w:rPr>
          <w:rFonts w:ascii="仿宋" w:eastAsia="仿宋" w:hAnsi="仿宋" w:cs="仿宋"/>
          <w:sz w:val="32"/>
          <w:szCs w:val="32"/>
        </w:rPr>
      </w:pPr>
    </w:p>
    <w:p w:rsidR="007A15C5" w:rsidRDefault="007A15C5">
      <w:pPr>
        <w:rPr>
          <w:rFonts w:ascii="仿宋" w:eastAsia="仿宋" w:hAnsi="仿宋" w:cs="仿宋"/>
          <w:sz w:val="32"/>
          <w:szCs w:val="32"/>
        </w:rPr>
      </w:pPr>
    </w:p>
    <w:p w:rsidR="007A15C5" w:rsidRDefault="007A15C5">
      <w:pPr>
        <w:rPr>
          <w:rFonts w:ascii="仿宋" w:eastAsia="仿宋" w:hAnsi="仿宋" w:cs="仿宋"/>
          <w:sz w:val="32"/>
          <w:szCs w:val="32"/>
        </w:rPr>
      </w:pPr>
    </w:p>
    <w:sectPr w:rsidR="007A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05" w:rsidRDefault="003F1105" w:rsidP="007D5F5B">
      <w:r>
        <w:separator/>
      </w:r>
    </w:p>
  </w:endnote>
  <w:endnote w:type="continuationSeparator" w:id="0">
    <w:p w:rsidR="003F1105" w:rsidRDefault="003F1105" w:rsidP="007D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05" w:rsidRDefault="003F1105" w:rsidP="007D5F5B">
      <w:r>
        <w:separator/>
      </w:r>
    </w:p>
  </w:footnote>
  <w:footnote w:type="continuationSeparator" w:id="0">
    <w:p w:rsidR="003F1105" w:rsidRDefault="003F1105" w:rsidP="007D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5"/>
    <w:rsid w:val="000859D0"/>
    <w:rsid w:val="00170586"/>
    <w:rsid w:val="001A0A26"/>
    <w:rsid w:val="00377B0C"/>
    <w:rsid w:val="003F1105"/>
    <w:rsid w:val="005C2E6F"/>
    <w:rsid w:val="007A15C5"/>
    <w:rsid w:val="007D5F5B"/>
    <w:rsid w:val="009D130F"/>
    <w:rsid w:val="00B1399E"/>
    <w:rsid w:val="00D15BAE"/>
    <w:rsid w:val="00DB4472"/>
    <w:rsid w:val="00E41CD7"/>
    <w:rsid w:val="00E96815"/>
    <w:rsid w:val="00F8338D"/>
    <w:rsid w:val="011038F8"/>
    <w:rsid w:val="011C7179"/>
    <w:rsid w:val="01427CC7"/>
    <w:rsid w:val="015109E3"/>
    <w:rsid w:val="01735DE0"/>
    <w:rsid w:val="01B9069D"/>
    <w:rsid w:val="01D0609A"/>
    <w:rsid w:val="01FC28DC"/>
    <w:rsid w:val="021141F5"/>
    <w:rsid w:val="021814FC"/>
    <w:rsid w:val="024E186D"/>
    <w:rsid w:val="026A0715"/>
    <w:rsid w:val="02A10CF5"/>
    <w:rsid w:val="02AE6BA6"/>
    <w:rsid w:val="02B7475C"/>
    <w:rsid w:val="02BC2A04"/>
    <w:rsid w:val="02D97F11"/>
    <w:rsid w:val="02DC0D0F"/>
    <w:rsid w:val="03150554"/>
    <w:rsid w:val="031627B0"/>
    <w:rsid w:val="0330780D"/>
    <w:rsid w:val="03316A72"/>
    <w:rsid w:val="03392A7D"/>
    <w:rsid w:val="03845BA2"/>
    <w:rsid w:val="038E5EF8"/>
    <w:rsid w:val="03975EC2"/>
    <w:rsid w:val="03E61283"/>
    <w:rsid w:val="045E3B87"/>
    <w:rsid w:val="046A4637"/>
    <w:rsid w:val="0478741C"/>
    <w:rsid w:val="04B806FE"/>
    <w:rsid w:val="04CF7249"/>
    <w:rsid w:val="04DA66DB"/>
    <w:rsid w:val="04DD79BB"/>
    <w:rsid w:val="04FF7101"/>
    <w:rsid w:val="052F077E"/>
    <w:rsid w:val="053E4A13"/>
    <w:rsid w:val="05452CF2"/>
    <w:rsid w:val="05731022"/>
    <w:rsid w:val="05796E4A"/>
    <w:rsid w:val="05962815"/>
    <w:rsid w:val="05AA002A"/>
    <w:rsid w:val="062A6882"/>
    <w:rsid w:val="064110E1"/>
    <w:rsid w:val="06682C18"/>
    <w:rsid w:val="067730B9"/>
    <w:rsid w:val="06A502E6"/>
    <w:rsid w:val="06D62019"/>
    <w:rsid w:val="073A41F9"/>
    <w:rsid w:val="07405E9A"/>
    <w:rsid w:val="0753066A"/>
    <w:rsid w:val="07604546"/>
    <w:rsid w:val="07864C9A"/>
    <w:rsid w:val="07866F6F"/>
    <w:rsid w:val="07B94616"/>
    <w:rsid w:val="07C87954"/>
    <w:rsid w:val="07DD18F8"/>
    <w:rsid w:val="07F13F25"/>
    <w:rsid w:val="07F92ED2"/>
    <w:rsid w:val="08562CD1"/>
    <w:rsid w:val="08634A8B"/>
    <w:rsid w:val="08654B2E"/>
    <w:rsid w:val="088A1A88"/>
    <w:rsid w:val="08B80EC6"/>
    <w:rsid w:val="08DA3EEE"/>
    <w:rsid w:val="08EB5EE9"/>
    <w:rsid w:val="09032C26"/>
    <w:rsid w:val="091D2364"/>
    <w:rsid w:val="092C3541"/>
    <w:rsid w:val="09891043"/>
    <w:rsid w:val="0A621877"/>
    <w:rsid w:val="0AA60DD3"/>
    <w:rsid w:val="0AB1578A"/>
    <w:rsid w:val="0AD25F62"/>
    <w:rsid w:val="0B25317E"/>
    <w:rsid w:val="0B4476F8"/>
    <w:rsid w:val="0B4D5266"/>
    <w:rsid w:val="0B55788B"/>
    <w:rsid w:val="0B88352B"/>
    <w:rsid w:val="0BB701D8"/>
    <w:rsid w:val="0BC07D0D"/>
    <w:rsid w:val="0BD544C6"/>
    <w:rsid w:val="0C472A5F"/>
    <w:rsid w:val="0C5767F9"/>
    <w:rsid w:val="0C795951"/>
    <w:rsid w:val="0C845A60"/>
    <w:rsid w:val="0CD976FA"/>
    <w:rsid w:val="0CED7550"/>
    <w:rsid w:val="0D156061"/>
    <w:rsid w:val="0D176D42"/>
    <w:rsid w:val="0D266236"/>
    <w:rsid w:val="0D5020C7"/>
    <w:rsid w:val="0D58296C"/>
    <w:rsid w:val="0D682710"/>
    <w:rsid w:val="0D7E6FC2"/>
    <w:rsid w:val="0DB73867"/>
    <w:rsid w:val="0DD039E4"/>
    <w:rsid w:val="0DEC3B33"/>
    <w:rsid w:val="0DEF5E0C"/>
    <w:rsid w:val="0DFD038C"/>
    <w:rsid w:val="0E281B86"/>
    <w:rsid w:val="0E9E0022"/>
    <w:rsid w:val="0EA2552D"/>
    <w:rsid w:val="0EB4533E"/>
    <w:rsid w:val="0EC82D9F"/>
    <w:rsid w:val="0EE02E2E"/>
    <w:rsid w:val="0F062C4F"/>
    <w:rsid w:val="0F163CCB"/>
    <w:rsid w:val="0F6E59E4"/>
    <w:rsid w:val="0F717E84"/>
    <w:rsid w:val="0FA164FD"/>
    <w:rsid w:val="0FAC1B5B"/>
    <w:rsid w:val="0FCA1A49"/>
    <w:rsid w:val="10213AAE"/>
    <w:rsid w:val="103457A0"/>
    <w:rsid w:val="104D0D72"/>
    <w:rsid w:val="10BD3FC2"/>
    <w:rsid w:val="11680030"/>
    <w:rsid w:val="11742DE6"/>
    <w:rsid w:val="11B02BC1"/>
    <w:rsid w:val="11DD0903"/>
    <w:rsid w:val="120F1B51"/>
    <w:rsid w:val="12141FCE"/>
    <w:rsid w:val="12264518"/>
    <w:rsid w:val="123038F6"/>
    <w:rsid w:val="12760979"/>
    <w:rsid w:val="127C4C8E"/>
    <w:rsid w:val="12BB14F1"/>
    <w:rsid w:val="12C16F92"/>
    <w:rsid w:val="12C47C85"/>
    <w:rsid w:val="12D1709D"/>
    <w:rsid w:val="130A7B3B"/>
    <w:rsid w:val="135A295C"/>
    <w:rsid w:val="13650466"/>
    <w:rsid w:val="13752225"/>
    <w:rsid w:val="137C5799"/>
    <w:rsid w:val="13D977A5"/>
    <w:rsid w:val="13F24F24"/>
    <w:rsid w:val="140E4545"/>
    <w:rsid w:val="1410151A"/>
    <w:rsid w:val="14517C55"/>
    <w:rsid w:val="14524747"/>
    <w:rsid w:val="14682706"/>
    <w:rsid w:val="14845411"/>
    <w:rsid w:val="148677DE"/>
    <w:rsid w:val="1523518B"/>
    <w:rsid w:val="152B2DE4"/>
    <w:rsid w:val="1596408B"/>
    <w:rsid w:val="159B7E3F"/>
    <w:rsid w:val="15F03F96"/>
    <w:rsid w:val="15FE58DB"/>
    <w:rsid w:val="162F7E19"/>
    <w:rsid w:val="16345FBB"/>
    <w:rsid w:val="163A5BB3"/>
    <w:rsid w:val="163F6AEF"/>
    <w:rsid w:val="166B23D4"/>
    <w:rsid w:val="16900903"/>
    <w:rsid w:val="16BA2DCF"/>
    <w:rsid w:val="16D800BD"/>
    <w:rsid w:val="16E750EF"/>
    <w:rsid w:val="16EA6E76"/>
    <w:rsid w:val="17217A35"/>
    <w:rsid w:val="17264F81"/>
    <w:rsid w:val="176C2298"/>
    <w:rsid w:val="17800655"/>
    <w:rsid w:val="180674BE"/>
    <w:rsid w:val="18224761"/>
    <w:rsid w:val="184B2D5A"/>
    <w:rsid w:val="184B3C05"/>
    <w:rsid w:val="187F3060"/>
    <w:rsid w:val="18825D60"/>
    <w:rsid w:val="18951B93"/>
    <w:rsid w:val="18A75179"/>
    <w:rsid w:val="18CC455F"/>
    <w:rsid w:val="18E01A29"/>
    <w:rsid w:val="194D7C68"/>
    <w:rsid w:val="1974688B"/>
    <w:rsid w:val="1989643E"/>
    <w:rsid w:val="199E7C00"/>
    <w:rsid w:val="19BC5791"/>
    <w:rsid w:val="19CA1AEE"/>
    <w:rsid w:val="1A2E0858"/>
    <w:rsid w:val="1A7C0F99"/>
    <w:rsid w:val="1A9974D2"/>
    <w:rsid w:val="1B5F5F4E"/>
    <w:rsid w:val="1B606829"/>
    <w:rsid w:val="1BB521EA"/>
    <w:rsid w:val="1BC73923"/>
    <w:rsid w:val="1BC9083F"/>
    <w:rsid w:val="1BCC048A"/>
    <w:rsid w:val="1BDB3548"/>
    <w:rsid w:val="1BDF3C66"/>
    <w:rsid w:val="1BE51C21"/>
    <w:rsid w:val="1BE522F9"/>
    <w:rsid w:val="1BF00CBC"/>
    <w:rsid w:val="1BF40D44"/>
    <w:rsid w:val="1C3A3CF5"/>
    <w:rsid w:val="1C460D00"/>
    <w:rsid w:val="1CF32A05"/>
    <w:rsid w:val="1D414265"/>
    <w:rsid w:val="1D8914B0"/>
    <w:rsid w:val="1DA61979"/>
    <w:rsid w:val="1DBB14C7"/>
    <w:rsid w:val="1DBC2476"/>
    <w:rsid w:val="1E2C1899"/>
    <w:rsid w:val="1E9A6CAF"/>
    <w:rsid w:val="1ED25622"/>
    <w:rsid w:val="1EDF2538"/>
    <w:rsid w:val="1EE60E3E"/>
    <w:rsid w:val="1F1171D0"/>
    <w:rsid w:val="1F345092"/>
    <w:rsid w:val="1F5E32B7"/>
    <w:rsid w:val="1FBE3BC5"/>
    <w:rsid w:val="1FCD177C"/>
    <w:rsid w:val="1FDD7C3F"/>
    <w:rsid w:val="1FFC5A58"/>
    <w:rsid w:val="20016B0E"/>
    <w:rsid w:val="202150F5"/>
    <w:rsid w:val="20324EC0"/>
    <w:rsid w:val="205A0C09"/>
    <w:rsid w:val="20855DC1"/>
    <w:rsid w:val="209B6552"/>
    <w:rsid w:val="20D62016"/>
    <w:rsid w:val="21051D60"/>
    <w:rsid w:val="213C145A"/>
    <w:rsid w:val="21715E87"/>
    <w:rsid w:val="21A0066F"/>
    <w:rsid w:val="21AE6229"/>
    <w:rsid w:val="21BD7D82"/>
    <w:rsid w:val="21DB262F"/>
    <w:rsid w:val="220A4D00"/>
    <w:rsid w:val="22321896"/>
    <w:rsid w:val="2254225A"/>
    <w:rsid w:val="22551F53"/>
    <w:rsid w:val="22DC4722"/>
    <w:rsid w:val="22E66B79"/>
    <w:rsid w:val="22EE19BF"/>
    <w:rsid w:val="22F80010"/>
    <w:rsid w:val="22FD4EDB"/>
    <w:rsid w:val="23042127"/>
    <w:rsid w:val="23121C93"/>
    <w:rsid w:val="231C23C5"/>
    <w:rsid w:val="233D2A3D"/>
    <w:rsid w:val="234C5D50"/>
    <w:rsid w:val="237810A4"/>
    <w:rsid w:val="23D54B35"/>
    <w:rsid w:val="23F1265F"/>
    <w:rsid w:val="23F92327"/>
    <w:rsid w:val="24090513"/>
    <w:rsid w:val="24677266"/>
    <w:rsid w:val="247A2B07"/>
    <w:rsid w:val="2484490B"/>
    <w:rsid w:val="248F0C19"/>
    <w:rsid w:val="24903568"/>
    <w:rsid w:val="24D83F71"/>
    <w:rsid w:val="250260E1"/>
    <w:rsid w:val="250C744B"/>
    <w:rsid w:val="251040F2"/>
    <w:rsid w:val="25443643"/>
    <w:rsid w:val="254C6F35"/>
    <w:rsid w:val="25641D4C"/>
    <w:rsid w:val="257C09F4"/>
    <w:rsid w:val="25823F9C"/>
    <w:rsid w:val="259B2076"/>
    <w:rsid w:val="25A93061"/>
    <w:rsid w:val="25AA720A"/>
    <w:rsid w:val="25DD70B8"/>
    <w:rsid w:val="263B2215"/>
    <w:rsid w:val="2664325F"/>
    <w:rsid w:val="267B23FA"/>
    <w:rsid w:val="26964651"/>
    <w:rsid w:val="269C2181"/>
    <w:rsid w:val="26B90446"/>
    <w:rsid w:val="26CF08F3"/>
    <w:rsid w:val="26E02CBB"/>
    <w:rsid w:val="26EB0E9B"/>
    <w:rsid w:val="26F83645"/>
    <w:rsid w:val="27127A10"/>
    <w:rsid w:val="27385196"/>
    <w:rsid w:val="27923F27"/>
    <w:rsid w:val="27A039C1"/>
    <w:rsid w:val="27C21558"/>
    <w:rsid w:val="28325A75"/>
    <w:rsid w:val="28537F6C"/>
    <w:rsid w:val="2859187D"/>
    <w:rsid w:val="28756BD9"/>
    <w:rsid w:val="287D56F2"/>
    <w:rsid w:val="289628B1"/>
    <w:rsid w:val="28A5345C"/>
    <w:rsid w:val="28A60EB9"/>
    <w:rsid w:val="28A733E9"/>
    <w:rsid w:val="28BF1DE9"/>
    <w:rsid w:val="28E2554A"/>
    <w:rsid w:val="28E85467"/>
    <w:rsid w:val="29334E61"/>
    <w:rsid w:val="2990347D"/>
    <w:rsid w:val="29DB5260"/>
    <w:rsid w:val="29EB3CFB"/>
    <w:rsid w:val="29F625DE"/>
    <w:rsid w:val="29F87D49"/>
    <w:rsid w:val="2A12300C"/>
    <w:rsid w:val="2A137463"/>
    <w:rsid w:val="2A323226"/>
    <w:rsid w:val="2A3A23A4"/>
    <w:rsid w:val="2A7553D7"/>
    <w:rsid w:val="2A834053"/>
    <w:rsid w:val="2AB010D2"/>
    <w:rsid w:val="2ACF7CA5"/>
    <w:rsid w:val="2AD638A2"/>
    <w:rsid w:val="2AD907CA"/>
    <w:rsid w:val="2ADF0221"/>
    <w:rsid w:val="2B5B4CBB"/>
    <w:rsid w:val="2B7F22DD"/>
    <w:rsid w:val="2B901F00"/>
    <w:rsid w:val="2B9B5082"/>
    <w:rsid w:val="2BA47074"/>
    <w:rsid w:val="2BC54434"/>
    <w:rsid w:val="2BE81C72"/>
    <w:rsid w:val="2BEF19B7"/>
    <w:rsid w:val="2C8753D2"/>
    <w:rsid w:val="2CC06388"/>
    <w:rsid w:val="2CEB2A06"/>
    <w:rsid w:val="2D26017A"/>
    <w:rsid w:val="2D8A5881"/>
    <w:rsid w:val="2DAD54CC"/>
    <w:rsid w:val="2DF16526"/>
    <w:rsid w:val="2E123E14"/>
    <w:rsid w:val="2E1E1F95"/>
    <w:rsid w:val="2E313987"/>
    <w:rsid w:val="2E5E1174"/>
    <w:rsid w:val="2E622D69"/>
    <w:rsid w:val="2EE321BB"/>
    <w:rsid w:val="2F0F397B"/>
    <w:rsid w:val="2F343A68"/>
    <w:rsid w:val="2F4710B7"/>
    <w:rsid w:val="2F5D1717"/>
    <w:rsid w:val="2F6F425C"/>
    <w:rsid w:val="2F741BA7"/>
    <w:rsid w:val="2FC41AEE"/>
    <w:rsid w:val="2FFD7388"/>
    <w:rsid w:val="30515E6F"/>
    <w:rsid w:val="306329F2"/>
    <w:rsid w:val="308D569A"/>
    <w:rsid w:val="30952618"/>
    <w:rsid w:val="309D0A59"/>
    <w:rsid w:val="30A07E66"/>
    <w:rsid w:val="30B1153D"/>
    <w:rsid w:val="30DE7292"/>
    <w:rsid w:val="30EB7DC5"/>
    <w:rsid w:val="310B4AE4"/>
    <w:rsid w:val="311A5486"/>
    <w:rsid w:val="311F172C"/>
    <w:rsid w:val="31466AC2"/>
    <w:rsid w:val="3149398D"/>
    <w:rsid w:val="314A3EFE"/>
    <w:rsid w:val="31746453"/>
    <w:rsid w:val="32160E40"/>
    <w:rsid w:val="32583EFC"/>
    <w:rsid w:val="327269D8"/>
    <w:rsid w:val="32BD7376"/>
    <w:rsid w:val="32CD515B"/>
    <w:rsid w:val="34263522"/>
    <w:rsid w:val="34273808"/>
    <w:rsid w:val="34575E2E"/>
    <w:rsid w:val="345B6692"/>
    <w:rsid w:val="346022EB"/>
    <w:rsid w:val="3460758C"/>
    <w:rsid w:val="34670FA5"/>
    <w:rsid w:val="347D731D"/>
    <w:rsid w:val="347F12C5"/>
    <w:rsid w:val="34916699"/>
    <w:rsid w:val="34CD22C9"/>
    <w:rsid w:val="350B60C9"/>
    <w:rsid w:val="35165CA4"/>
    <w:rsid w:val="351A62D2"/>
    <w:rsid w:val="3522489D"/>
    <w:rsid w:val="359D1342"/>
    <w:rsid w:val="359F4AAF"/>
    <w:rsid w:val="35F331E3"/>
    <w:rsid w:val="35F76ED0"/>
    <w:rsid w:val="360232B7"/>
    <w:rsid w:val="360C4B24"/>
    <w:rsid w:val="36206EC3"/>
    <w:rsid w:val="3636007C"/>
    <w:rsid w:val="368F0107"/>
    <w:rsid w:val="36935BF9"/>
    <w:rsid w:val="369E6D5B"/>
    <w:rsid w:val="36E7774E"/>
    <w:rsid w:val="379B4657"/>
    <w:rsid w:val="37A03F56"/>
    <w:rsid w:val="37AD42D8"/>
    <w:rsid w:val="37BA03BD"/>
    <w:rsid w:val="37C07427"/>
    <w:rsid w:val="37DB4F2C"/>
    <w:rsid w:val="37EA7D59"/>
    <w:rsid w:val="38391FF1"/>
    <w:rsid w:val="384A7E5E"/>
    <w:rsid w:val="387A1644"/>
    <w:rsid w:val="38854FE2"/>
    <w:rsid w:val="38E065F4"/>
    <w:rsid w:val="38E37300"/>
    <w:rsid w:val="38ED1DBD"/>
    <w:rsid w:val="39397F3D"/>
    <w:rsid w:val="394149D2"/>
    <w:rsid w:val="39B735CA"/>
    <w:rsid w:val="39BD5F92"/>
    <w:rsid w:val="39DF4CFB"/>
    <w:rsid w:val="39F233D2"/>
    <w:rsid w:val="3A3F2433"/>
    <w:rsid w:val="3A5357E7"/>
    <w:rsid w:val="3A5A47E3"/>
    <w:rsid w:val="3A8335EE"/>
    <w:rsid w:val="3A927F06"/>
    <w:rsid w:val="3AB517EE"/>
    <w:rsid w:val="3AE14BDA"/>
    <w:rsid w:val="3AE71A5D"/>
    <w:rsid w:val="3B7C3F0F"/>
    <w:rsid w:val="3BB657BA"/>
    <w:rsid w:val="3BC44A6C"/>
    <w:rsid w:val="3BCB5DBA"/>
    <w:rsid w:val="3BD65806"/>
    <w:rsid w:val="3C065B84"/>
    <w:rsid w:val="3C2A5AF2"/>
    <w:rsid w:val="3C3134E1"/>
    <w:rsid w:val="3C5C6504"/>
    <w:rsid w:val="3C63666F"/>
    <w:rsid w:val="3C994BA1"/>
    <w:rsid w:val="3CCC1D3C"/>
    <w:rsid w:val="3CE55446"/>
    <w:rsid w:val="3D18298B"/>
    <w:rsid w:val="3D2340C0"/>
    <w:rsid w:val="3D5C342D"/>
    <w:rsid w:val="3D781680"/>
    <w:rsid w:val="3D805BB0"/>
    <w:rsid w:val="3DA45E8F"/>
    <w:rsid w:val="3DE06C23"/>
    <w:rsid w:val="3E1630F7"/>
    <w:rsid w:val="3E2208E8"/>
    <w:rsid w:val="3E3867ED"/>
    <w:rsid w:val="3E603239"/>
    <w:rsid w:val="3E654B44"/>
    <w:rsid w:val="3E6A57DE"/>
    <w:rsid w:val="3E772BB6"/>
    <w:rsid w:val="3E865D25"/>
    <w:rsid w:val="3E8C14E2"/>
    <w:rsid w:val="3EAD1F31"/>
    <w:rsid w:val="3ECD4E4C"/>
    <w:rsid w:val="3EE407FC"/>
    <w:rsid w:val="3EEC702C"/>
    <w:rsid w:val="3F0C51DE"/>
    <w:rsid w:val="3F215EDA"/>
    <w:rsid w:val="3F5744B1"/>
    <w:rsid w:val="3F580F52"/>
    <w:rsid w:val="3F602472"/>
    <w:rsid w:val="3F6B6E62"/>
    <w:rsid w:val="3FB105CC"/>
    <w:rsid w:val="405A1DFC"/>
    <w:rsid w:val="40605038"/>
    <w:rsid w:val="40816591"/>
    <w:rsid w:val="408F1476"/>
    <w:rsid w:val="40AD36D0"/>
    <w:rsid w:val="40B05294"/>
    <w:rsid w:val="40D65747"/>
    <w:rsid w:val="40E43C0B"/>
    <w:rsid w:val="410A1008"/>
    <w:rsid w:val="41283936"/>
    <w:rsid w:val="41331570"/>
    <w:rsid w:val="41410C92"/>
    <w:rsid w:val="4186175C"/>
    <w:rsid w:val="41C6714C"/>
    <w:rsid w:val="41F72857"/>
    <w:rsid w:val="42271A19"/>
    <w:rsid w:val="422E5869"/>
    <w:rsid w:val="42906AA9"/>
    <w:rsid w:val="42F3222D"/>
    <w:rsid w:val="43146A05"/>
    <w:rsid w:val="43477BCC"/>
    <w:rsid w:val="435C63D4"/>
    <w:rsid w:val="43670943"/>
    <w:rsid w:val="436D5D16"/>
    <w:rsid w:val="43712370"/>
    <w:rsid w:val="4373798E"/>
    <w:rsid w:val="437637F5"/>
    <w:rsid w:val="43A05024"/>
    <w:rsid w:val="43AF5475"/>
    <w:rsid w:val="43BA00F8"/>
    <w:rsid w:val="43BC0EEC"/>
    <w:rsid w:val="43D1456E"/>
    <w:rsid w:val="444830EA"/>
    <w:rsid w:val="44534E68"/>
    <w:rsid w:val="44545027"/>
    <w:rsid w:val="445C4466"/>
    <w:rsid w:val="44771D5C"/>
    <w:rsid w:val="449501E5"/>
    <w:rsid w:val="451360CE"/>
    <w:rsid w:val="45293884"/>
    <w:rsid w:val="45487EE8"/>
    <w:rsid w:val="4573577B"/>
    <w:rsid w:val="45A63884"/>
    <w:rsid w:val="45BB6E89"/>
    <w:rsid w:val="45E20756"/>
    <w:rsid w:val="45E967AE"/>
    <w:rsid w:val="45FF524C"/>
    <w:rsid w:val="46217D80"/>
    <w:rsid w:val="465B680D"/>
    <w:rsid w:val="466A0C41"/>
    <w:rsid w:val="466D3524"/>
    <w:rsid w:val="467B4D52"/>
    <w:rsid w:val="468774DA"/>
    <w:rsid w:val="46CA45FD"/>
    <w:rsid w:val="46DA23CB"/>
    <w:rsid w:val="46FA1799"/>
    <w:rsid w:val="47003AA7"/>
    <w:rsid w:val="470C5592"/>
    <w:rsid w:val="47167071"/>
    <w:rsid w:val="474F06BD"/>
    <w:rsid w:val="478543F8"/>
    <w:rsid w:val="478B2199"/>
    <w:rsid w:val="47A958EE"/>
    <w:rsid w:val="48295354"/>
    <w:rsid w:val="482A7959"/>
    <w:rsid w:val="49047C9D"/>
    <w:rsid w:val="49113246"/>
    <w:rsid w:val="491264B7"/>
    <w:rsid w:val="49296DB0"/>
    <w:rsid w:val="496B4F4E"/>
    <w:rsid w:val="49831960"/>
    <w:rsid w:val="49CB54F0"/>
    <w:rsid w:val="49D162F4"/>
    <w:rsid w:val="49D171D0"/>
    <w:rsid w:val="49E14EE7"/>
    <w:rsid w:val="49F4534F"/>
    <w:rsid w:val="4AAB006F"/>
    <w:rsid w:val="4ABE2C8E"/>
    <w:rsid w:val="4ACE1B01"/>
    <w:rsid w:val="4AE55434"/>
    <w:rsid w:val="4B0109A7"/>
    <w:rsid w:val="4B033713"/>
    <w:rsid w:val="4B4C7B77"/>
    <w:rsid w:val="4B8550AA"/>
    <w:rsid w:val="4BC22DAE"/>
    <w:rsid w:val="4BD1705A"/>
    <w:rsid w:val="4BED0959"/>
    <w:rsid w:val="4C220DDE"/>
    <w:rsid w:val="4C8E3EBE"/>
    <w:rsid w:val="4CD931A8"/>
    <w:rsid w:val="4CE9025F"/>
    <w:rsid w:val="4CEC21F1"/>
    <w:rsid w:val="4D117558"/>
    <w:rsid w:val="4D236792"/>
    <w:rsid w:val="4D425506"/>
    <w:rsid w:val="4D437D4B"/>
    <w:rsid w:val="4D8D4E7A"/>
    <w:rsid w:val="4D912FAD"/>
    <w:rsid w:val="4DA1552F"/>
    <w:rsid w:val="4DA15CF3"/>
    <w:rsid w:val="4DD21DE7"/>
    <w:rsid w:val="4DE67E30"/>
    <w:rsid w:val="4DFB76B5"/>
    <w:rsid w:val="4E1520B2"/>
    <w:rsid w:val="4E38353D"/>
    <w:rsid w:val="4E684793"/>
    <w:rsid w:val="4E715CFE"/>
    <w:rsid w:val="4E8239BC"/>
    <w:rsid w:val="4E9B65D7"/>
    <w:rsid w:val="4EB330A7"/>
    <w:rsid w:val="4EB40D06"/>
    <w:rsid w:val="4EBC4B37"/>
    <w:rsid w:val="4EE147B1"/>
    <w:rsid w:val="4F2A561C"/>
    <w:rsid w:val="4F4632E7"/>
    <w:rsid w:val="4F6D29B8"/>
    <w:rsid w:val="4F96101C"/>
    <w:rsid w:val="4FC739FC"/>
    <w:rsid w:val="4FD754B7"/>
    <w:rsid w:val="4FDE42D2"/>
    <w:rsid w:val="50204055"/>
    <w:rsid w:val="50390F1E"/>
    <w:rsid w:val="506612C4"/>
    <w:rsid w:val="50972F6C"/>
    <w:rsid w:val="50B04C8F"/>
    <w:rsid w:val="50C22415"/>
    <w:rsid w:val="50DC3077"/>
    <w:rsid w:val="50DC41F5"/>
    <w:rsid w:val="50F502B0"/>
    <w:rsid w:val="5109570C"/>
    <w:rsid w:val="510D2DDC"/>
    <w:rsid w:val="51306FED"/>
    <w:rsid w:val="513A4F6F"/>
    <w:rsid w:val="514246E6"/>
    <w:rsid w:val="51565413"/>
    <w:rsid w:val="515E6299"/>
    <w:rsid w:val="51C55FA9"/>
    <w:rsid w:val="51DE5290"/>
    <w:rsid w:val="520A043D"/>
    <w:rsid w:val="52235201"/>
    <w:rsid w:val="52443591"/>
    <w:rsid w:val="526669B4"/>
    <w:rsid w:val="526A6D29"/>
    <w:rsid w:val="52892CE2"/>
    <w:rsid w:val="528D3B09"/>
    <w:rsid w:val="52B053BD"/>
    <w:rsid w:val="52C2722A"/>
    <w:rsid w:val="53297AE5"/>
    <w:rsid w:val="539D4FAD"/>
    <w:rsid w:val="53B7531C"/>
    <w:rsid w:val="53DB028B"/>
    <w:rsid w:val="543447AA"/>
    <w:rsid w:val="551556FB"/>
    <w:rsid w:val="551A468B"/>
    <w:rsid w:val="55212294"/>
    <w:rsid w:val="5555589B"/>
    <w:rsid w:val="556805E1"/>
    <w:rsid w:val="556B24C0"/>
    <w:rsid w:val="556B3318"/>
    <w:rsid w:val="55A857A7"/>
    <w:rsid w:val="56590FAA"/>
    <w:rsid w:val="567E4BE9"/>
    <w:rsid w:val="56907E9A"/>
    <w:rsid w:val="56F3559A"/>
    <w:rsid w:val="56F80400"/>
    <w:rsid w:val="57336284"/>
    <w:rsid w:val="57402A64"/>
    <w:rsid w:val="577C275B"/>
    <w:rsid w:val="57BC7C28"/>
    <w:rsid w:val="57FE2ADB"/>
    <w:rsid w:val="580E1120"/>
    <w:rsid w:val="583D2509"/>
    <w:rsid w:val="5850246F"/>
    <w:rsid w:val="5865652E"/>
    <w:rsid w:val="58C53FA4"/>
    <w:rsid w:val="58CA5AB7"/>
    <w:rsid w:val="58EE4D6D"/>
    <w:rsid w:val="59047DBF"/>
    <w:rsid w:val="591111C2"/>
    <w:rsid w:val="592338F6"/>
    <w:rsid w:val="59421301"/>
    <w:rsid w:val="59586158"/>
    <w:rsid w:val="595A16D9"/>
    <w:rsid w:val="59A3207E"/>
    <w:rsid w:val="59A81CB5"/>
    <w:rsid w:val="59CB787E"/>
    <w:rsid w:val="59D26CFC"/>
    <w:rsid w:val="59D43421"/>
    <w:rsid w:val="59D506DD"/>
    <w:rsid w:val="5A6104D4"/>
    <w:rsid w:val="5A6E18CB"/>
    <w:rsid w:val="5AC06F9C"/>
    <w:rsid w:val="5AC077C1"/>
    <w:rsid w:val="5AF041F7"/>
    <w:rsid w:val="5B282499"/>
    <w:rsid w:val="5B2E4889"/>
    <w:rsid w:val="5B5D35FA"/>
    <w:rsid w:val="5B7F0C1E"/>
    <w:rsid w:val="5B995DAC"/>
    <w:rsid w:val="5BAE764A"/>
    <w:rsid w:val="5BE23DB7"/>
    <w:rsid w:val="5C5375FA"/>
    <w:rsid w:val="5C634DF3"/>
    <w:rsid w:val="5CCB33EB"/>
    <w:rsid w:val="5CCE1146"/>
    <w:rsid w:val="5D221572"/>
    <w:rsid w:val="5D5B5E6F"/>
    <w:rsid w:val="5D7574EC"/>
    <w:rsid w:val="5DAF3DFB"/>
    <w:rsid w:val="5DC6662F"/>
    <w:rsid w:val="5DD363D0"/>
    <w:rsid w:val="5DE2052F"/>
    <w:rsid w:val="5DEF7CE3"/>
    <w:rsid w:val="5DFD52DC"/>
    <w:rsid w:val="5E243778"/>
    <w:rsid w:val="5E4B0FB6"/>
    <w:rsid w:val="5E4B4D7C"/>
    <w:rsid w:val="5E5D79F9"/>
    <w:rsid w:val="5EB34969"/>
    <w:rsid w:val="5EB61D0F"/>
    <w:rsid w:val="5EEB058C"/>
    <w:rsid w:val="5EFD398E"/>
    <w:rsid w:val="5F5546AD"/>
    <w:rsid w:val="5F9D2B88"/>
    <w:rsid w:val="5FA35C55"/>
    <w:rsid w:val="6028338F"/>
    <w:rsid w:val="602E4278"/>
    <w:rsid w:val="60337107"/>
    <w:rsid w:val="60551B7C"/>
    <w:rsid w:val="608A62AD"/>
    <w:rsid w:val="614A48DD"/>
    <w:rsid w:val="616E26F3"/>
    <w:rsid w:val="6180016F"/>
    <w:rsid w:val="61980AFD"/>
    <w:rsid w:val="619C35F9"/>
    <w:rsid w:val="61C10E95"/>
    <w:rsid w:val="61D83090"/>
    <w:rsid w:val="61FE6241"/>
    <w:rsid w:val="62137C67"/>
    <w:rsid w:val="62263ECD"/>
    <w:rsid w:val="62785215"/>
    <w:rsid w:val="628C6136"/>
    <w:rsid w:val="62921CAF"/>
    <w:rsid w:val="62A01A3D"/>
    <w:rsid w:val="62AF5AA3"/>
    <w:rsid w:val="62C874A7"/>
    <w:rsid w:val="630E56B1"/>
    <w:rsid w:val="63304AA2"/>
    <w:rsid w:val="63503FC0"/>
    <w:rsid w:val="63991F5C"/>
    <w:rsid w:val="63B70DDC"/>
    <w:rsid w:val="63D74BBC"/>
    <w:rsid w:val="63E702A9"/>
    <w:rsid w:val="63E77597"/>
    <w:rsid w:val="640F52FF"/>
    <w:rsid w:val="642C35B9"/>
    <w:rsid w:val="643167E9"/>
    <w:rsid w:val="643E4A99"/>
    <w:rsid w:val="646D6B99"/>
    <w:rsid w:val="647D28DC"/>
    <w:rsid w:val="64810CD6"/>
    <w:rsid w:val="64AA59B2"/>
    <w:rsid w:val="64C20496"/>
    <w:rsid w:val="64D413A7"/>
    <w:rsid w:val="64E220CD"/>
    <w:rsid w:val="65084A8B"/>
    <w:rsid w:val="652621DC"/>
    <w:rsid w:val="652763F2"/>
    <w:rsid w:val="652A4A28"/>
    <w:rsid w:val="65393199"/>
    <w:rsid w:val="653F212C"/>
    <w:rsid w:val="65515BD7"/>
    <w:rsid w:val="657538E5"/>
    <w:rsid w:val="65783271"/>
    <w:rsid w:val="6580592C"/>
    <w:rsid w:val="65AB35DD"/>
    <w:rsid w:val="661459C4"/>
    <w:rsid w:val="664631DF"/>
    <w:rsid w:val="66885571"/>
    <w:rsid w:val="66995E41"/>
    <w:rsid w:val="66BA0BF3"/>
    <w:rsid w:val="66DC045A"/>
    <w:rsid w:val="66E05F8B"/>
    <w:rsid w:val="66E645D9"/>
    <w:rsid w:val="66FD6274"/>
    <w:rsid w:val="6712688F"/>
    <w:rsid w:val="67222313"/>
    <w:rsid w:val="67536D59"/>
    <w:rsid w:val="678964A8"/>
    <w:rsid w:val="678E5E8B"/>
    <w:rsid w:val="67A90D05"/>
    <w:rsid w:val="67B777C2"/>
    <w:rsid w:val="67DF483B"/>
    <w:rsid w:val="67EA3C44"/>
    <w:rsid w:val="67EE2316"/>
    <w:rsid w:val="68160826"/>
    <w:rsid w:val="6829254F"/>
    <w:rsid w:val="68365E21"/>
    <w:rsid w:val="683B1E40"/>
    <w:rsid w:val="68644906"/>
    <w:rsid w:val="68657487"/>
    <w:rsid w:val="68A702F5"/>
    <w:rsid w:val="69161C18"/>
    <w:rsid w:val="695B13FE"/>
    <w:rsid w:val="698D79BA"/>
    <w:rsid w:val="69B177AA"/>
    <w:rsid w:val="69D90AE2"/>
    <w:rsid w:val="69E22DF3"/>
    <w:rsid w:val="69EC02A9"/>
    <w:rsid w:val="6A125C3F"/>
    <w:rsid w:val="6A135607"/>
    <w:rsid w:val="6A234580"/>
    <w:rsid w:val="6A761CE5"/>
    <w:rsid w:val="6B14660C"/>
    <w:rsid w:val="6B1F2EAA"/>
    <w:rsid w:val="6B7048FB"/>
    <w:rsid w:val="6BBC7781"/>
    <w:rsid w:val="6BC01C13"/>
    <w:rsid w:val="6BFB68B3"/>
    <w:rsid w:val="6C1C48FE"/>
    <w:rsid w:val="6C637F2E"/>
    <w:rsid w:val="6C6A2D6A"/>
    <w:rsid w:val="6C863097"/>
    <w:rsid w:val="6CAC2EFF"/>
    <w:rsid w:val="6CB07C89"/>
    <w:rsid w:val="6CC23088"/>
    <w:rsid w:val="6CC71BEE"/>
    <w:rsid w:val="6CD42D63"/>
    <w:rsid w:val="6D0468D3"/>
    <w:rsid w:val="6D1E2632"/>
    <w:rsid w:val="6D847E46"/>
    <w:rsid w:val="6D9D0427"/>
    <w:rsid w:val="6DD76241"/>
    <w:rsid w:val="6DF17F52"/>
    <w:rsid w:val="6E0134C9"/>
    <w:rsid w:val="6E114F7A"/>
    <w:rsid w:val="6E977789"/>
    <w:rsid w:val="6EAB7865"/>
    <w:rsid w:val="6EC817EE"/>
    <w:rsid w:val="6EE22B54"/>
    <w:rsid w:val="6EFE414D"/>
    <w:rsid w:val="6F0D0C80"/>
    <w:rsid w:val="6FA0526F"/>
    <w:rsid w:val="6FA54553"/>
    <w:rsid w:val="6FAA7B2C"/>
    <w:rsid w:val="6FB30B03"/>
    <w:rsid w:val="6FDD0058"/>
    <w:rsid w:val="70021F50"/>
    <w:rsid w:val="705D7F2E"/>
    <w:rsid w:val="709B6FCB"/>
    <w:rsid w:val="70FE57E7"/>
    <w:rsid w:val="71231C75"/>
    <w:rsid w:val="715430A1"/>
    <w:rsid w:val="7161576F"/>
    <w:rsid w:val="719F6F93"/>
    <w:rsid w:val="71E61428"/>
    <w:rsid w:val="7205246D"/>
    <w:rsid w:val="7283160F"/>
    <w:rsid w:val="729D1B52"/>
    <w:rsid w:val="72AD7A67"/>
    <w:rsid w:val="72BF364C"/>
    <w:rsid w:val="72E569D0"/>
    <w:rsid w:val="72F627C7"/>
    <w:rsid w:val="72FF4371"/>
    <w:rsid w:val="730D70A2"/>
    <w:rsid w:val="736F152E"/>
    <w:rsid w:val="737236E5"/>
    <w:rsid w:val="73CF0EB2"/>
    <w:rsid w:val="73E82D9E"/>
    <w:rsid w:val="73FD58B0"/>
    <w:rsid w:val="741C2CB6"/>
    <w:rsid w:val="74252CE8"/>
    <w:rsid w:val="74457264"/>
    <w:rsid w:val="74683E6F"/>
    <w:rsid w:val="747A12E1"/>
    <w:rsid w:val="747C4F89"/>
    <w:rsid w:val="74B609DE"/>
    <w:rsid w:val="752B0C20"/>
    <w:rsid w:val="756F5FED"/>
    <w:rsid w:val="75860E80"/>
    <w:rsid w:val="75DA7BE6"/>
    <w:rsid w:val="75EF22A0"/>
    <w:rsid w:val="75FB5996"/>
    <w:rsid w:val="763E5277"/>
    <w:rsid w:val="7664730E"/>
    <w:rsid w:val="766617A9"/>
    <w:rsid w:val="76755F71"/>
    <w:rsid w:val="76B776E6"/>
    <w:rsid w:val="76CC2B6B"/>
    <w:rsid w:val="772C7A3D"/>
    <w:rsid w:val="77363B67"/>
    <w:rsid w:val="77405524"/>
    <w:rsid w:val="77724A2D"/>
    <w:rsid w:val="77A4299C"/>
    <w:rsid w:val="783A2B45"/>
    <w:rsid w:val="78CB3D5F"/>
    <w:rsid w:val="78F95E6F"/>
    <w:rsid w:val="79624B5B"/>
    <w:rsid w:val="796D7ECC"/>
    <w:rsid w:val="79AA62EB"/>
    <w:rsid w:val="79AC52D4"/>
    <w:rsid w:val="79D931B1"/>
    <w:rsid w:val="79DC745C"/>
    <w:rsid w:val="79E03C50"/>
    <w:rsid w:val="7A001793"/>
    <w:rsid w:val="7A30787F"/>
    <w:rsid w:val="7A5C182A"/>
    <w:rsid w:val="7A8A6D94"/>
    <w:rsid w:val="7A8B636F"/>
    <w:rsid w:val="7AA34403"/>
    <w:rsid w:val="7ACB7277"/>
    <w:rsid w:val="7ADB4F2E"/>
    <w:rsid w:val="7B134874"/>
    <w:rsid w:val="7B490E6B"/>
    <w:rsid w:val="7B4B1ED7"/>
    <w:rsid w:val="7B873BB3"/>
    <w:rsid w:val="7BA41449"/>
    <w:rsid w:val="7BCE3587"/>
    <w:rsid w:val="7BDD7F8C"/>
    <w:rsid w:val="7C1A36C5"/>
    <w:rsid w:val="7C816A41"/>
    <w:rsid w:val="7C923522"/>
    <w:rsid w:val="7C9F24AC"/>
    <w:rsid w:val="7CA30BC2"/>
    <w:rsid w:val="7CB16890"/>
    <w:rsid w:val="7CED0165"/>
    <w:rsid w:val="7CEE36AD"/>
    <w:rsid w:val="7D065E09"/>
    <w:rsid w:val="7D1D4A7B"/>
    <w:rsid w:val="7D380E1A"/>
    <w:rsid w:val="7D5057FF"/>
    <w:rsid w:val="7D854B56"/>
    <w:rsid w:val="7D987C2B"/>
    <w:rsid w:val="7D9C277B"/>
    <w:rsid w:val="7DE02400"/>
    <w:rsid w:val="7DEB34DD"/>
    <w:rsid w:val="7DEB523E"/>
    <w:rsid w:val="7DFF38B1"/>
    <w:rsid w:val="7E2C6FD7"/>
    <w:rsid w:val="7E3D4AE0"/>
    <w:rsid w:val="7E52676C"/>
    <w:rsid w:val="7E623FD0"/>
    <w:rsid w:val="7E6B1FFC"/>
    <w:rsid w:val="7E847300"/>
    <w:rsid w:val="7EA805E5"/>
    <w:rsid w:val="7ECF1358"/>
    <w:rsid w:val="7EF501E9"/>
    <w:rsid w:val="7F0645A3"/>
    <w:rsid w:val="7F88478F"/>
    <w:rsid w:val="7F923302"/>
    <w:rsid w:val="7F946CDF"/>
    <w:rsid w:val="7F986C72"/>
    <w:rsid w:val="7FAD3C84"/>
    <w:rsid w:val="7FCE7FE8"/>
    <w:rsid w:val="7FD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952B2E-C127-485C-821A-B6F04DD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5F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D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5F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邱彩虹</cp:lastModifiedBy>
  <cp:revision>2</cp:revision>
  <dcterms:created xsi:type="dcterms:W3CDTF">2024-05-10T03:00:00Z</dcterms:created>
  <dcterms:modified xsi:type="dcterms:W3CDTF">2024-05-10T03:00:00Z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