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hint="eastAsia" w:ascii="Times New Roman" w:eastAsia="黑体"/>
          <w:b/>
          <w:bCs/>
          <w:sz w:val="32"/>
          <w:highlight w:val="none"/>
          <w:lang w:val="en-US" w:eastAsia="zh-CN"/>
        </w:rPr>
      </w:pPr>
      <w:r>
        <w:rPr>
          <w:rFonts w:hint="eastAsia" w:ascii="黑体" w:eastAsia="黑体"/>
          <w:b/>
          <w:sz w:val="36"/>
          <w:szCs w:val="36"/>
          <w:highlight w:val="none"/>
        </w:rPr>
        <w:t xml:space="preserve"> </w:t>
      </w:r>
      <w:r>
        <w:rPr>
          <w:rFonts w:hint="eastAsia" w:ascii="黑体" w:hAnsi="黑体" w:eastAsia="黑体" w:cs="黑体"/>
          <w:color w:val="000000"/>
          <w:kern w:val="0"/>
          <w:sz w:val="32"/>
          <w:szCs w:val="32"/>
          <w:highlight w:val="none"/>
          <w:u w:val="none"/>
          <w:lang w:bidi="ar"/>
        </w:rPr>
        <w:t>附件</w:t>
      </w:r>
      <w:r>
        <w:rPr>
          <w:rFonts w:hint="eastAsia" w:ascii="黑体" w:hAnsi="黑体" w:eastAsia="黑体" w:cs="黑体"/>
          <w:color w:val="000000"/>
          <w:kern w:val="0"/>
          <w:sz w:val="32"/>
          <w:szCs w:val="32"/>
          <w:highlight w:val="none"/>
          <w:u w:val="none"/>
          <w:lang w:val="en-US" w:eastAsia="zh-CN" w:bidi="ar"/>
        </w:rPr>
        <w:t>1</w:t>
      </w:r>
    </w:p>
    <w:p>
      <w:pPr>
        <w:jc w:val="both"/>
        <w:rPr>
          <w:rFonts w:hint="eastAsia" w:ascii="黑体" w:eastAsia="黑体"/>
          <w:b/>
          <w:sz w:val="36"/>
          <w:szCs w:val="36"/>
          <w:highlight w:val="none"/>
        </w:rPr>
      </w:pPr>
      <w:r>
        <w:rPr>
          <w:rFonts w:hint="eastAsia" w:ascii="黑体" w:eastAsia="黑体"/>
          <w:b/>
          <w:sz w:val="36"/>
          <w:szCs w:val="36"/>
          <w:highlight w:val="none"/>
        </w:rPr>
        <w:t xml:space="preserve">           </w:t>
      </w:r>
    </w:p>
    <w:p>
      <w:pPr>
        <w:spacing w:line="240" w:lineRule="auto"/>
        <w:jc w:val="both"/>
        <w:rPr>
          <w:rFonts w:ascii="华文中宋" w:hAnsi="华文中宋" w:eastAsia="华文中宋"/>
          <w:b/>
          <w:bCs/>
          <w:sz w:val="32"/>
          <w:szCs w:val="32"/>
          <w:highlight w:val="none"/>
        </w:rPr>
      </w:pPr>
    </w:p>
    <w:p>
      <w:pPr>
        <w:spacing w:line="360" w:lineRule="auto"/>
        <w:jc w:val="center"/>
        <w:rPr>
          <w:rFonts w:ascii="华文中宋" w:hAnsi="华文中宋" w:eastAsia="华文中宋"/>
          <w:b/>
          <w:bCs/>
          <w:sz w:val="32"/>
          <w:szCs w:val="32"/>
          <w:highlight w:val="none"/>
        </w:rPr>
      </w:pPr>
    </w:p>
    <w:p>
      <w:pPr>
        <w:spacing w:line="360" w:lineRule="auto"/>
        <w:jc w:val="center"/>
        <w:rPr>
          <w:rFonts w:hint="eastAsia" w:ascii="方正小标宋_GBK" w:hAnsi="方正小标宋_GBK" w:eastAsia="方正小标宋_GBK" w:cs="方正小标宋_GBK"/>
          <w:b w:val="0"/>
          <w:bCs w:val="0"/>
          <w:sz w:val="48"/>
          <w:szCs w:val="48"/>
          <w:highlight w:val="none"/>
        </w:rPr>
      </w:pPr>
      <w:r>
        <w:rPr>
          <w:rFonts w:hint="eastAsia" w:ascii="方正小标宋_GBK" w:hAnsi="方正小标宋_GBK" w:eastAsia="方正小标宋_GBK" w:cs="方正小标宋_GBK"/>
          <w:b w:val="0"/>
          <w:bCs w:val="0"/>
          <w:sz w:val="48"/>
          <w:szCs w:val="48"/>
          <w:highlight w:val="none"/>
        </w:rPr>
        <w:t>20</w:t>
      </w:r>
      <w:r>
        <w:rPr>
          <w:rFonts w:hint="eastAsia" w:ascii="方正小标宋_GBK" w:hAnsi="方正小标宋_GBK" w:eastAsia="方正小标宋_GBK" w:cs="方正小标宋_GBK"/>
          <w:b w:val="0"/>
          <w:bCs w:val="0"/>
          <w:sz w:val="48"/>
          <w:szCs w:val="48"/>
          <w:highlight w:val="none"/>
          <w:lang w:val="en-US" w:eastAsia="zh-CN"/>
        </w:rPr>
        <w:t>23</w:t>
      </w:r>
      <w:r>
        <w:rPr>
          <w:rFonts w:hint="eastAsia" w:ascii="方正小标宋_GBK" w:hAnsi="方正小标宋_GBK" w:eastAsia="方正小标宋_GBK" w:cs="方正小标宋_GBK"/>
          <w:b w:val="0"/>
          <w:bCs w:val="0"/>
          <w:sz w:val="48"/>
          <w:szCs w:val="48"/>
          <w:highlight w:val="none"/>
        </w:rPr>
        <w:t>年</w:t>
      </w:r>
      <w:r>
        <w:rPr>
          <w:rFonts w:hint="eastAsia" w:ascii="方正小标宋_GBK" w:hAnsi="方正小标宋_GBK" w:eastAsia="方正小标宋_GBK" w:cs="方正小标宋_GBK"/>
          <w:b w:val="0"/>
          <w:bCs w:val="0"/>
          <w:sz w:val="48"/>
          <w:szCs w:val="48"/>
          <w:highlight w:val="none"/>
          <w:lang w:val="en-US" w:eastAsia="zh-CN"/>
        </w:rPr>
        <w:t>陕西省</w:t>
      </w:r>
      <w:r>
        <w:rPr>
          <w:rFonts w:hint="eastAsia" w:ascii="方正小标宋_GBK" w:hAnsi="方正小标宋_GBK" w:eastAsia="方正小标宋_GBK" w:cs="方正小标宋_GBK"/>
          <w:b w:val="0"/>
          <w:bCs w:val="0"/>
          <w:sz w:val="48"/>
          <w:szCs w:val="48"/>
          <w:highlight w:val="none"/>
        </w:rPr>
        <w:t>政府通过商业银行柜台市场发行人民币债券分销协议</w:t>
      </w:r>
      <w:r>
        <w:rPr>
          <w:rFonts w:hint="eastAsia" w:ascii="方正小标宋_GBK" w:hAnsi="方正小标宋_GBK" w:eastAsia="方正小标宋_GBK" w:cs="方正小标宋_GBK"/>
          <w:b w:val="0"/>
          <w:bCs w:val="0"/>
          <w:sz w:val="48"/>
          <w:szCs w:val="48"/>
          <w:highlight w:val="none"/>
          <w:lang w:eastAsia="zh-CN"/>
        </w:rPr>
        <w:t>（范本）</w:t>
      </w:r>
    </w:p>
    <w:p>
      <w:pPr>
        <w:spacing w:line="360" w:lineRule="auto"/>
        <w:jc w:val="center"/>
        <w:rPr>
          <w:rFonts w:ascii="华文中宋" w:hAnsi="华文中宋" w:eastAsia="华文中宋"/>
          <w:b/>
          <w:bCs/>
          <w:sz w:val="48"/>
          <w:szCs w:val="48"/>
          <w:highlight w:val="none"/>
        </w:rPr>
      </w:pPr>
    </w:p>
    <w:p>
      <w:pPr>
        <w:spacing w:line="360" w:lineRule="auto"/>
        <w:jc w:val="center"/>
        <w:rPr>
          <w:rFonts w:ascii="华文中宋" w:hAnsi="华文中宋" w:eastAsia="华文中宋"/>
          <w:b/>
          <w:bCs/>
          <w:sz w:val="32"/>
          <w:szCs w:val="32"/>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hint="eastAsia" w:ascii="黑体" w:hAnsi="宋体" w:eastAsia="黑体"/>
          <w:b/>
          <w:sz w:val="30"/>
          <w:szCs w:val="30"/>
          <w:highlight w:val="none"/>
        </w:rPr>
      </w:pPr>
    </w:p>
    <w:p>
      <w:pPr>
        <w:spacing w:line="360" w:lineRule="exact"/>
        <w:jc w:val="center"/>
        <w:rPr>
          <w:rFonts w:hint="eastAsia"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jc w:val="center"/>
        <w:rPr>
          <w:rFonts w:ascii="Times New Roman" w:eastAsia="华文中宋"/>
          <w:b/>
          <w:bCs/>
          <w:sz w:val="32"/>
          <w:highlight w:val="none"/>
        </w:rPr>
      </w:pPr>
      <w:r>
        <w:rPr>
          <w:rFonts w:ascii="Times New Roman" w:eastAsia="华文中宋"/>
          <w:b/>
          <w:bCs/>
          <w:sz w:val="32"/>
          <w:highlight w:val="none"/>
        </w:rPr>
        <w:t>二〇</w:t>
      </w:r>
      <w:r>
        <w:rPr>
          <w:rFonts w:hint="eastAsia" w:ascii="Times New Roman" w:eastAsia="华文中宋"/>
          <w:b/>
          <w:bCs/>
          <w:sz w:val="32"/>
          <w:highlight w:val="none"/>
          <w:lang w:val="en-US" w:eastAsia="zh-CN"/>
        </w:rPr>
        <w:t>二</w:t>
      </w:r>
      <w:r>
        <w:rPr>
          <w:rFonts w:hint="eastAsia" w:eastAsia="华文中宋"/>
          <w:b/>
          <w:bCs/>
          <w:sz w:val="32"/>
          <w:highlight w:val="none"/>
          <w:lang w:val="en-US" w:eastAsia="zh-CN"/>
        </w:rPr>
        <w:t>三</w:t>
      </w:r>
      <w:r>
        <w:rPr>
          <w:rFonts w:ascii="Times New Roman" w:eastAsia="华文中宋"/>
          <w:b/>
          <w:bCs/>
          <w:sz w:val="32"/>
          <w:highlight w:val="none"/>
        </w:rPr>
        <w:t>年</w:t>
      </w:r>
      <w:r>
        <w:rPr>
          <w:rFonts w:hint="eastAsia" w:eastAsia="华文中宋"/>
          <w:b/>
          <w:bCs/>
          <w:sz w:val="32"/>
          <w:highlight w:val="none"/>
          <w:lang w:eastAsia="zh-CN"/>
        </w:rPr>
        <w:t>七</w:t>
      </w:r>
      <w:r>
        <w:rPr>
          <w:rFonts w:ascii="Times New Roman" w:eastAsia="华文中宋"/>
          <w:b/>
          <w:bCs/>
          <w:sz w:val="32"/>
          <w:highlight w:val="none"/>
        </w:rPr>
        <w:t>月</w:t>
      </w:r>
    </w:p>
    <w:p>
      <w:pPr>
        <w:spacing w:line="360" w:lineRule="exact"/>
        <w:jc w:val="center"/>
        <w:rPr>
          <w:rFonts w:ascii="黑体" w:hAnsi="宋体" w:eastAsia="黑体"/>
          <w:b/>
          <w:sz w:val="30"/>
          <w:szCs w:val="30"/>
          <w:highlight w:val="none"/>
        </w:rPr>
      </w:pPr>
    </w:p>
    <w:p>
      <w:pPr>
        <w:spacing w:line="360" w:lineRule="exact"/>
        <w:rPr>
          <w:rFonts w:hint="eastAsia" w:ascii="黑体" w:hAnsi="宋体" w:eastAsia="黑体"/>
          <w:b/>
          <w:sz w:val="30"/>
          <w:szCs w:val="30"/>
          <w:highlight w:val="none"/>
        </w:rPr>
      </w:pPr>
    </w:p>
    <w:p>
      <w:pPr>
        <w:spacing w:line="360" w:lineRule="exact"/>
        <w:rPr>
          <w:rFonts w:hint="eastAsia" w:ascii="黑体" w:hAnsi="宋体" w:eastAsia="黑体"/>
          <w:b/>
          <w:sz w:val="30"/>
          <w:szCs w:val="30"/>
          <w:highlight w:val="none"/>
        </w:rPr>
      </w:pPr>
    </w:p>
    <w:p>
      <w:pPr>
        <w:spacing w:line="360" w:lineRule="exact"/>
        <w:rPr>
          <w:rFonts w:hint="eastAsia" w:ascii="黑体" w:hAnsi="宋体" w:eastAsia="黑体"/>
          <w:b/>
          <w:sz w:val="30"/>
          <w:szCs w:val="30"/>
          <w:highlight w:val="none"/>
        </w:rPr>
      </w:pPr>
    </w:p>
    <w:p>
      <w:pPr>
        <w:spacing w:line="300" w:lineRule="auto"/>
        <w:jc w:val="center"/>
        <w:rPr>
          <w:rFonts w:hint="eastAsia" w:ascii="黑体" w:hAnsi="宋体" w:eastAsia="黑体"/>
          <w:b/>
          <w:sz w:val="30"/>
          <w:szCs w:val="30"/>
          <w:highlight w:val="none"/>
        </w:rPr>
      </w:pPr>
    </w:p>
    <w:p>
      <w:pPr>
        <w:spacing w:line="300" w:lineRule="auto"/>
        <w:jc w:val="center"/>
        <w:rPr>
          <w:rFonts w:hint="eastAsia" w:ascii="黑体" w:hAnsi="宋体" w:eastAsia="黑体"/>
          <w:b w:val="0"/>
          <w:bCs/>
          <w:sz w:val="32"/>
          <w:szCs w:val="32"/>
          <w:highlight w:val="none"/>
          <w:lang w:eastAsia="zh-CN"/>
        </w:rPr>
      </w:pPr>
    </w:p>
    <w:p>
      <w:pPr>
        <w:spacing w:line="300" w:lineRule="auto"/>
        <w:jc w:val="center"/>
        <w:rPr>
          <w:rFonts w:hint="eastAsia" w:ascii="黑体" w:hAnsi="宋体" w:eastAsia="黑体"/>
          <w:b w:val="0"/>
          <w:bCs/>
          <w:sz w:val="32"/>
          <w:szCs w:val="32"/>
          <w:highlight w:val="none"/>
          <w:lang w:eastAsia="zh-CN"/>
        </w:rPr>
      </w:pPr>
    </w:p>
    <w:p>
      <w:pPr>
        <w:spacing w:line="300" w:lineRule="auto"/>
        <w:jc w:val="center"/>
        <w:rPr>
          <w:rFonts w:hint="eastAsia" w:ascii="黑体" w:hAnsi="黑体" w:eastAsia="黑体" w:cs="黑体"/>
          <w:b w:val="0"/>
          <w:bCs/>
          <w:sz w:val="32"/>
          <w:szCs w:val="32"/>
          <w:highlight w:val="none"/>
        </w:rPr>
      </w:pPr>
      <w:r>
        <w:rPr>
          <w:rFonts w:hint="eastAsia" w:ascii="黑体" w:hAnsi="宋体" w:eastAsia="黑体"/>
          <w:b w:val="0"/>
          <w:bCs/>
          <w:sz w:val="32"/>
          <w:szCs w:val="32"/>
          <w:highlight w:val="none"/>
          <w:lang w:eastAsia="zh-CN"/>
        </w:rPr>
        <w:t>202</w:t>
      </w:r>
      <w:r>
        <w:rPr>
          <w:rFonts w:hint="eastAsia" w:ascii="黑体" w:hAnsi="宋体" w:eastAsia="黑体"/>
          <w:b w:val="0"/>
          <w:bCs/>
          <w:sz w:val="32"/>
          <w:szCs w:val="32"/>
          <w:highlight w:val="none"/>
          <w:lang w:val="en-US" w:eastAsia="zh-CN"/>
        </w:rPr>
        <w:t>3</w:t>
      </w:r>
      <w:r>
        <w:rPr>
          <w:rFonts w:hint="eastAsia" w:ascii="黑体" w:hAnsi="宋体" w:eastAsia="黑体"/>
          <w:b w:val="0"/>
          <w:bCs/>
          <w:sz w:val="32"/>
          <w:szCs w:val="32"/>
          <w:highlight w:val="none"/>
        </w:rPr>
        <w:t>年</w:t>
      </w:r>
      <w:r>
        <w:rPr>
          <w:rFonts w:hint="eastAsia" w:ascii="黑体" w:hAnsi="黑体" w:eastAsia="黑体" w:cs="黑体"/>
          <w:b w:val="0"/>
          <w:bCs/>
          <w:sz w:val="32"/>
          <w:szCs w:val="32"/>
          <w:highlight w:val="none"/>
          <w:lang w:val="en-US" w:eastAsia="zh-CN"/>
        </w:rPr>
        <w:t>陕西省</w:t>
      </w:r>
      <w:r>
        <w:rPr>
          <w:rFonts w:hint="eastAsia" w:ascii="黑体" w:hAnsi="黑体" w:eastAsia="黑体" w:cs="黑体"/>
          <w:b w:val="0"/>
          <w:bCs/>
          <w:sz w:val="32"/>
          <w:szCs w:val="32"/>
          <w:highlight w:val="none"/>
        </w:rPr>
        <w:t>政府通过商业银行柜台市场</w:t>
      </w:r>
    </w:p>
    <w:p>
      <w:pPr>
        <w:spacing w:line="300" w:lineRule="auto"/>
        <w:jc w:val="center"/>
        <w:rPr>
          <w:rFonts w:ascii="黑体" w:hAnsi="宋体" w:eastAsia="黑体"/>
          <w:b w:val="0"/>
          <w:bCs/>
          <w:sz w:val="32"/>
          <w:szCs w:val="32"/>
          <w:highlight w:val="none"/>
        </w:rPr>
      </w:pPr>
      <w:r>
        <w:rPr>
          <w:rFonts w:hint="eastAsia" w:ascii="黑体" w:hAnsi="黑体" w:eastAsia="黑体" w:cs="黑体"/>
          <w:b w:val="0"/>
          <w:bCs/>
          <w:sz w:val="32"/>
          <w:szCs w:val="32"/>
          <w:highlight w:val="none"/>
        </w:rPr>
        <w:t>发行</w:t>
      </w:r>
      <w:r>
        <w:rPr>
          <w:rFonts w:hint="eastAsia" w:ascii="黑体" w:hAnsi="宋体" w:eastAsia="黑体"/>
          <w:b w:val="0"/>
          <w:bCs/>
          <w:sz w:val="32"/>
          <w:szCs w:val="32"/>
          <w:highlight w:val="none"/>
        </w:rPr>
        <w:t>人民币债券分销协议</w:t>
      </w:r>
      <w:r>
        <w:rPr>
          <w:rFonts w:hint="eastAsia" w:ascii="黑体" w:hAnsi="宋体" w:eastAsia="黑体"/>
          <w:b w:val="0"/>
          <w:bCs/>
          <w:sz w:val="32"/>
          <w:szCs w:val="32"/>
          <w:highlight w:val="none"/>
          <w:lang w:eastAsia="zh-CN"/>
        </w:rPr>
        <w:t>（范本）</w:t>
      </w:r>
    </w:p>
    <w:p>
      <w:pPr>
        <w:spacing w:line="360" w:lineRule="exact"/>
        <w:jc w:val="center"/>
        <w:rPr>
          <w:rFonts w:ascii="黑体" w:hAnsi="宋体" w:eastAsia="黑体"/>
          <w:b/>
          <w:sz w:val="30"/>
          <w:szCs w:val="30"/>
          <w:highlight w:val="none"/>
        </w:rPr>
      </w:pPr>
    </w:p>
    <w:p>
      <w:pPr>
        <w:spacing w:line="360" w:lineRule="exact"/>
        <w:jc w:val="center"/>
        <w:rPr>
          <w:rFonts w:ascii="黑体" w:hAnsi="宋体" w:eastAsia="黑体"/>
          <w:b/>
          <w:sz w:val="30"/>
          <w:szCs w:val="30"/>
          <w:highlight w:val="none"/>
        </w:rPr>
      </w:pPr>
    </w:p>
    <w:p>
      <w:pPr>
        <w:spacing w:line="360" w:lineRule="exact"/>
        <w:rPr>
          <w:rFonts w:hint="eastAsia" w:ascii="仿宋_GB2312" w:hAnsi="宋体" w:eastAsia="仿宋_GB2312"/>
          <w:sz w:val="24"/>
          <w:highlight w:val="none"/>
        </w:rPr>
      </w:pPr>
      <w:r>
        <w:rPr>
          <w:rFonts w:hint="eastAsia" w:ascii="仿宋_GB2312" w:hAnsi="宋体" w:eastAsia="仿宋_GB2312"/>
          <w:sz w:val="24"/>
          <w:highlight w:val="none"/>
        </w:rPr>
        <w:t xml:space="preserve">                                                                                                                                                                                                                                                                                                                                                                                                                                                                                                                                                                                                                                                                                                                                                                                                                                                                                                                                                                                                                                                                           </w:t>
      </w:r>
    </w:p>
    <w:p>
      <w:pPr>
        <w:spacing w:line="36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债券发行人（以下称甲方）：</w:t>
      </w:r>
      <w:r>
        <w:rPr>
          <w:rFonts w:hint="eastAsia" w:ascii="仿宋" w:hAnsi="仿宋" w:eastAsia="仿宋" w:cs="仿宋"/>
          <w:sz w:val="28"/>
          <w:szCs w:val="28"/>
          <w:highlight w:val="none"/>
          <w:lang w:val="en-US" w:eastAsia="zh-CN"/>
        </w:rPr>
        <w:t>陕西省财政厅</w:t>
      </w:r>
    </w:p>
    <w:p>
      <w:pPr>
        <w:spacing w:line="36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所  在  地：</w:t>
      </w:r>
      <w:r>
        <w:rPr>
          <w:rFonts w:hint="eastAsia" w:ascii="仿宋" w:hAnsi="仿宋" w:eastAsia="仿宋" w:cs="仿宋"/>
          <w:sz w:val="28"/>
          <w:szCs w:val="28"/>
          <w:highlight w:val="none"/>
          <w:lang w:val="en-US" w:eastAsia="zh-CN"/>
        </w:rPr>
        <w:t>陕西省西安市莲湖区冰窖巷6号</w:t>
      </w: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柜台债券</w:t>
      </w:r>
      <w:r>
        <w:rPr>
          <w:rFonts w:hint="eastAsia" w:ascii="仿宋" w:hAnsi="仿宋" w:eastAsia="仿宋" w:cs="仿宋"/>
          <w:sz w:val="28"/>
          <w:szCs w:val="28"/>
          <w:highlight w:val="none"/>
          <w:lang w:eastAsia="zh-CN"/>
        </w:rPr>
        <w:t>承办机构</w:t>
      </w:r>
      <w:r>
        <w:rPr>
          <w:rFonts w:hint="eastAsia" w:ascii="仿宋" w:hAnsi="仿宋" w:eastAsia="仿宋" w:cs="仿宋"/>
          <w:sz w:val="28"/>
          <w:szCs w:val="28"/>
          <w:highlight w:val="none"/>
        </w:rPr>
        <w:t>（以下称乙方）：</w:t>
      </w:r>
    </w:p>
    <w:p>
      <w:p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所  在  地：</w:t>
      </w:r>
    </w:p>
    <w:p>
      <w:pPr>
        <w:spacing w:line="300" w:lineRule="auto"/>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甲方根据《</w:t>
      </w:r>
      <w:r>
        <w:rPr>
          <w:rFonts w:hint="eastAsia" w:ascii="仿宋" w:hAnsi="仿宋" w:eastAsia="仿宋" w:cs="仿宋"/>
          <w:sz w:val="28"/>
          <w:szCs w:val="28"/>
          <w:highlight w:val="none"/>
          <w:lang w:eastAsia="zh-CN"/>
        </w:rPr>
        <w:t>中华人民共和国</w:t>
      </w:r>
      <w:r>
        <w:rPr>
          <w:rFonts w:hint="eastAsia" w:ascii="仿宋" w:hAnsi="仿宋" w:eastAsia="仿宋" w:cs="仿宋"/>
          <w:sz w:val="28"/>
          <w:szCs w:val="28"/>
          <w:highlight w:val="none"/>
        </w:rPr>
        <w:t>预算法》、《国务院关于加强地方政府性债务管理的意见》（国发〔2014〕43号）</w:t>
      </w:r>
      <w:r>
        <w:rPr>
          <w:rFonts w:hint="eastAsia" w:ascii="仿宋" w:hAnsi="仿宋" w:eastAsia="仿宋" w:cs="仿宋"/>
          <w:sz w:val="28"/>
          <w:szCs w:val="28"/>
          <w:highlight w:val="none"/>
          <w:lang w:eastAsia="zh-CN"/>
        </w:rPr>
        <w:t>、《全国银行间债券市场柜台业务管理办法》（中国人民银行公告〔</w:t>
      </w:r>
      <w:r>
        <w:rPr>
          <w:rFonts w:hint="eastAsia" w:ascii="仿宋" w:hAnsi="仿宋" w:eastAsia="仿宋" w:cs="仿宋"/>
          <w:sz w:val="28"/>
          <w:szCs w:val="28"/>
          <w:highlight w:val="none"/>
          <w:lang w:val="en-US" w:eastAsia="zh-CN"/>
        </w:rPr>
        <w:t>2016</w:t>
      </w:r>
      <w:r>
        <w:rPr>
          <w:rFonts w:hint="eastAsia" w:ascii="仿宋" w:hAnsi="仿宋" w:eastAsia="仿宋" w:cs="仿宋"/>
          <w:sz w:val="28"/>
          <w:szCs w:val="28"/>
          <w:highlight w:val="none"/>
          <w:lang w:eastAsia="zh-CN"/>
        </w:rPr>
        <w:t>〕第</w:t>
      </w:r>
      <w:r>
        <w:rPr>
          <w:rFonts w:hint="eastAsia" w:ascii="仿宋" w:hAnsi="仿宋" w:eastAsia="仿宋" w:cs="仿宋"/>
          <w:sz w:val="28"/>
          <w:szCs w:val="28"/>
          <w:highlight w:val="none"/>
          <w:lang w:val="en-US" w:eastAsia="zh-CN"/>
        </w:rPr>
        <w:t>2号，以下简称《办法》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《财政部关于开展通过商业银行柜台市场发行地方政府债券工作的通知》（财库〔2019〕11号）</w:t>
      </w:r>
      <w:r>
        <w:rPr>
          <w:rFonts w:hint="eastAsia" w:ascii="仿宋" w:hAnsi="仿宋" w:eastAsia="仿宋" w:cs="仿宋"/>
          <w:sz w:val="28"/>
          <w:szCs w:val="28"/>
          <w:highlight w:val="none"/>
          <w:lang w:eastAsia="zh-CN"/>
        </w:rPr>
        <w:t>、《财政部关于进一步做好地方政府债券发行工作的意见》</w:t>
      </w:r>
      <w:r>
        <w:rPr>
          <w:rFonts w:hint="eastAsia" w:ascii="仿宋" w:hAnsi="仿宋" w:eastAsia="仿宋" w:cs="仿宋"/>
          <w:sz w:val="28"/>
          <w:szCs w:val="28"/>
          <w:highlight w:val="none"/>
        </w:rPr>
        <w:t>（财库〔20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号）</w:t>
      </w:r>
      <w:r>
        <w:rPr>
          <w:rFonts w:hint="eastAsia" w:ascii="仿宋" w:hAnsi="仿宋" w:eastAsia="仿宋" w:cs="仿宋"/>
          <w:sz w:val="28"/>
          <w:szCs w:val="28"/>
          <w:highlight w:val="none"/>
          <w:lang w:eastAsia="zh-CN"/>
        </w:rPr>
        <w:t>和《进一步做好地方政府债券柜台发行工作的通知》</w:t>
      </w:r>
      <w:r>
        <w:rPr>
          <w:rFonts w:hint="eastAsia" w:ascii="仿宋" w:hAnsi="仿宋" w:eastAsia="仿宋" w:cs="仿宋"/>
          <w:sz w:val="28"/>
          <w:szCs w:val="28"/>
          <w:highlight w:val="none"/>
        </w:rPr>
        <w:t>（财库〔20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49</w:t>
      </w:r>
      <w:r>
        <w:rPr>
          <w:rFonts w:hint="eastAsia" w:ascii="仿宋" w:hAnsi="仿宋" w:eastAsia="仿宋" w:cs="仿宋"/>
          <w:sz w:val="28"/>
          <w:szCs w:val="28"/>
          <w:highlight w:val="none"/>
        </w:rPr>
        <w:t>号）要求，通过商业银行柜台市场发行 “</w:t>
      </w:r>
      <w:r>
        <w:rPr>
          <w:rFonts w:hint="eastAsia" w:ascii="仿宋" w:hAnsi="仿宋" w:eastAsia="仿宋" w:cs="仿宋"/>
          <w:sz w:val="28"/>
          <w:szCs w:val="28"/>
          <w:highlight w:val="none"/>
          <w:lang w:val="en-US" w:eastAsia="zh-CN"/>
        </w:rPr>
        <w:t>陕西省</w:t>
      </w:r>
      <w:r>
        <w:rPr>
          <w:rFonts w:hint="eastAsia" w:ascii="仿宋" w:hAnsi="仿宋" w:eastAsia="仿宋" w:cs="仿宋"/>
          <w:sz w:val="28"/>
          <w:szCs w:val="28"/>
          <w:highlight w:val="none"/>
        </w:rPr>
        <w:t>政府债券”（以下简称“债券”），并负责债券通过柜台业务开办机构向柜台投资者发行的组织工作；乙方自愿成为柜台渠道分销商，承诺参与柜台债券投标、分销和交易柜台债券，履行相应的义务并享有相应的权利。为进一步明确甲乙双方在柜台分销业务中的权利与义务，经甲乙双方协商一致，签订本协议。</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第一条 债券及柜台债券的定义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本协议项下债券指甲方公开发行的债券（含一般债券及专项债券）。</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陕西省</w:t>
      </w:r>
      <w:r>
        <w:rPr>
          <w:rFonts w:hint="eastAsia" w:ascii="仿宋" w:hAnsi="仿宋" w:eastAsia="仿宋" w:cs="仿宋"/>
          <w:sz w:val="28"/>
          <w:szCs w:val="28"/>
          <w:highlight w:val="none"/>
        </w:rPr>
        <w:t>地方政府债券，是指以</w:t>
      </w:r>
      <w:r>
        <w:rPr>
          <w:rFonts w:hint="eastAsia" w:ascii="仿宋" w:hAnsi="仿宋" w:eastAsia="仿宋" w:cs="仿宋"/>
          <w:sz w:val="28"/>
          <w:szCs w:val="28"/>
          <w:highlight w:val="none"/>
          <w:lang w:val="en-US" w:eastAsia="zh-CN"/>
        </w:rPr>
        <w:t>陕西省</w:t>
      </w:r>
      <w:r>
        <w:rPr>
          <w:rFonts w:hint="eastAsia" w:ascii="仿宋" w:hAnsi="仿宋" w:eastAsia="仿宋" w:cs="仿宋"/>
          <w:sz w:val="28"/>
          <w:szCs w:val="28"/>
          <w:highlight w:val="none"/>
        </w:rPr>
        <w:t>人民政府为债务人承担按期支付利息和归还本金责任，由</w:t>
      </w:r>
      <w:r>
        <w:rPr>
          <w:rFonts w:hint="eastAsia" w:ascii="仿宋" w:hAnsi="仿宋" w:eastAsia="仿宋" w:cs="仿宋"/>
          <w:sz w:val="28"/>
          <w:szCs w:val="28"/>
          <w:highlight w:val="none"/>
          <w:lang w:val="en-US" w:eastAsia="zh-CN"/>
        </w:rPr>
        <w:t>陕西省</w:t>
      </w:r>
      <w:r>
        <w:rPr>
          <w:rFonts w:hint="eastAsia" w:ascii="仿宋" w:hAnsi="仿宋" w:eastAsia="仿宋" w:cs="仿宋"/>
          <w:sz w:val="28"/>
          <w:szCs w:val="28"/>
          <w:highlight w:val="none"/>
        </w:rPr>
        <w:t>财政厅具体办理债券发行、支付利息和偿还本金等事项的记账式债券。</w:t>
      </w:r>
    </w:p>
    <w:p>
      <w:pPr>
        <w:spacing w:line="360" w:lineRule="auto"/>
        <w:ind w:firstLine="560" w:firstLineChars="20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柜台债券是指甲方在相关债券发行文件中允许通过乙方柜台营业渠道分销的债券。</w:t>
      </w:r>
    </w:p>
    <w:p>
      <w:pPr>
        <w:spacing w:line="360" w:lineRule="auto"/>
        <w:ind w:firstLine="480"/>
        <w:rPr>
          <w:rFonts w:hint="eastAsia" w:ascii="仿宋" w:hAnsi="仿宋" w:eastAsia="仿宋" w:cs="仿宋"/>
          <w:sz w:val="28"/>
          <w:szCs w:val="28"/>
          <w:highlight w:val="none"/>
        </w:rPr>
      </w:pPr>
    </w:p>
    <w:p>
      <w:pPr>
        <w:spacing w:line="360" w:lineRule="auto"/>
        <w:ind w:firstLine="48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第二条 分销方式 </w:t>
      </w:r>
    </w:p>
    <w:p>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甲方发行的债券，可以选择通过柜台开办机构向柜台投资者进行分销。乙方根据其柜台中标额度，在柜台债券分销期内，按照本协议及当期债券发行文件约定，向个人、企业、金融机构等《办法》中规定的柜台投资者进行分销。分销期结束后，按照有关规定，乙方柜台做市债券可以在银行间市场流通交易。</w:t>
      </w:r>
    </w:p>
    <w:p>
      <w:pPr>
        <w:spacing w:line="360" w:lineRule="auto"/>
        <w:ind w:firstLine="480"/>
        <w:rPr>
          <w:rFonts w:hint="eastAsia" w:ascii="仿宋" w:hAnsi="仿宋" w:eastAsia="仿宋" w:cs="仿宋"/>
          <w:sz w:val="28"/>
          <w:szCs w:val="28"/>
          <w:highlight w:val="none"/>
        </w:rPr>
      </w:pPr>
    </w:p>
    <w:p>
      <w:pPr>
        <w:spacing w:line="360" w:lineRule="auto"/>
        <w:ind w:firstLine="480"/>
        <w:rPr>
          <w:rFonts w:hint="eastAsia" w:ascii="仿宋" w:hAnsi="仿宋" w:eastAsia="仿宋" w:cs="仿宋"/>
          <w:b/>
          <w:sz w:val="28"/>
          <w:szCs w:val="28"/>
          <w:highlight w:val="none"/>
        </w:rPr>
      </w:pPr>
      <w:r>
        <w:rPr>
          <w:rFonts w:hint="eastAsia" w:ascii="仿宋" w:hAnsi="仿宋" w:eastAsia="仿宋" w:cs="仿宋"/>
          <w:b/>
          <w:sz w:val="28"/>
          <w:szCs w:val="28"/>
          <w:highlight w:val="none"/>
        </w:rPr>
        <w:t>第三条 分销期</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柜台债券分销期是指全国银行间债券市场（以下简称“银行间市场”）招标日后一工作日至甲方发行文件中确定的柜台债券缴款日前一工作日的时间。</w:t>
      </w:r>
    </w:p>
    <w:p>
      <w:pPr>
        <w:spacing w:line="360" w:lineRule="auto"/>
        <w:ind w:firstLine="480"/>
        <w:rPr>
          <w:rFonts w:hint="eastAsia" w:ascii="仿宋" w:hAnsi="仿宋" w:eastAsia="仿宋" w:cs="仿宋"/>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第四条 柜台债券计划分销最高限额及未分销部分处理方式</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一、柜台债券计划分销最高限额</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柜台债券计划分销最高限额为甲方在发行文件中确定的乙方被允许在柜台市场分销的柜台债券的最高额度。</w:t>
      </w:r>
    </w:p>
    <w:p>
      <w:pPr>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b/>
          <w:sz w:val="28"/>
          <w:szCs w:val="28"/>
          <w:highlight w:val="none"/>
        </w:rPr>
        <w:t>未分销部分处理方式</w:t>
      </w:r>
    </w:p>
    <w:p>
      <w:pPr>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柜台债券向投资者实际分销数额与计划分销额之间的差额，由乙方包销。</w:t>
      </w:r>
      <w:r>
        <w:rPr>
          <w:rFonts w:hint="eastAsia" w:ascii="仿宋" w:hAnsi="仿宋" w:eastAsia="仿宋" w:cs="仿宋"/>
          <w:sz w:val="28"/>
          <w:szCs w:val="28"/>
          <w:highlight w:val="none"/>
          <w:lang w:val="en-US" w:eastAsia="zh-CN"/>
        </w:rPr>
        <w:t xml:space="preserve">                                                                                                                                                                                                                                                                                                                                                                                                                                                                                                                                                                                                                                                                                                                                                                                                                                                                                                                                                                                                                                                                                                                                                                                                                                                                                                                                                                                                                                                                                                                                                                                                                                                                       </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第五条 柜台债券票面利率/价格的确定</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根据财政部相关文件要求，结合债券发行前市场供求、投资人期望收益等情况协商每期柜台债券的票面利率（如有）、银行间市场债券票面利率（如有）和发行价格的确定方式，具体方案见当期债券发行文件。</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第六条 柜台分销款的支付</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每期柜台债券分销期满，乙方应按甲方发出的关于缴款的相关文件、当期债券发行文件，将柜台债券分销款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含包销部分，下同</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及时足额划入甲方指定的银行账户。柜台债券分销款到账后第二个工作日，债券持有人与甲方之间的债权债务关系成立。乙方延迟或提前支付分销的柜台债券款，按照本协议中违约责任条款处理。</w:t>
      </w:r>
    </w:p>
    <w:p>
      <w:pPr>
        <w:spacing w:line="360" w:lineRule="auto"/>
        <w:ind w:firstLine="560" w:firstLineChars="200"/>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第七条  分销手续费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乙方通过柜台市场分销的柜台债券，由甲方支付以下分销手续费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含包销部分，下同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商业银行柜台专项分销费。乙方通过其柜台市场营业渠道分销甲方债券，由甲方向乙方支付商业银行柜台专项分销费。付费基数为柜台债券计划分销数额，分销费率</w:t>
      </w:r>
      <w:r>
        <w:rPr>
          <w:rFonts w:hint="eastAsia" w:ascii="仿宋" w:hAnsi="仿宋" w:eastAsia="仿宋" w:cs="仿宋"/>
          <w:sz w:val="28"/>
          <w:szCs w:val="28"/>
          <w:highlight w:val="none"/>
          <w:lang w:eastAsia="zh-CN"/>
        </w:rPr>
        <w:t>暂定</w:t>
      </w:r>
      <w:r>
        <w:rPr>
          <w:rFonts w:hint="eastAsia" w:ascii="仿宋" w:hAnsi="仿宋" w:eastAsia="仿宋" w:cs="仿宋"/>
          <w:sz w:val="28"/>
          <w:szCs w:val="28"/>
          <w:highlight w:val="none"/>
        </w:rPr>
        <w:t>为40个基点。</w:t>
      </w:r>
      <w:r>
        <w:rPr>
          <w:rFonts w:hint="eastAsia" w:ascii="仿宋" w:hAnsi="仿宋" w:eastAsia="仿宋" w:cs="仿宋"/>
          <w:sz w:val="28"/>
          <w:szCs w:val="28"/>
          <w:highlight w:val="none"/>
          <w:lang w:eastAsia="zh-CN"/>
        </w:rPr>
        <w:t>同时，甲方可根据国内同类业务（含国债柜台发行）分销费率的变化趋势，对分销费率进行相应调整，具体执行的分销费率水平见债券发行文件。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将根据中央国债登记结算有限责任公司提供的上一年度柜台债券认购数据，对乙方进行年度考核：如乙方上一年度柜台实际分销比例（柜台实际分销额除以总承销面额）低于70%，且低于与甲方签约的所有柜台业务开办机构的平均分销比例，本年分销费率在上一年分销费率基础上下调10个基点。如乙方连续两年柜台实际分销比例低于70%，且低于与甲方签约的所有柜台业务开办机构的平均分销比例，甲方有权终止执行与乙方签订的柜台债券分销协议。</w:t>
      </w:r>
    </w:p>
    <w:p>
      <w:pPr>
        <w:spacing w:line="360" w:lineRule="auto"/>
        <w:ind w:firstLine="548" w:firstLineChars="196"/>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第八条  分销手续费的支付</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在指定账户足额收到乙方柜台债券分销款后五个工作日内（含第五个工作日），按当期（次）债券发行通知等有关文件规定，甲方</w:t>
      </w:r>
      <w:r>
        <w:rPr>
          <w:rFonts w:hint="eastAsia" w:ascii="仿宋" w:hAnsi="仿宋" w:eastAsia="仿宋" w:cs="仿宋"/>
          <w:sz w:val="28"/>
          <w:szCs w:val="28"/>
          <w:highlight w:val="none"/>
        </w:rPr>
        <w:t>可以委托中央国债登记结算有限责任公司代为拨付商业银行柜台专项分销费，拨付时间与银行间市场发行手续费拨付时间一致。</w:t>
      </w:r>
    </w:p>
    <w:p>
      <w:pPr>
        <w:spacing w:line="360" w:lineRule="auto"/>
        <w:ind w:firstLine="560" w:firstLineChars="200"/>
        <w:rPr>
          <w:rFonts w:hint="eastAsia" w:ascii="仿宋" w:hAnsi="仿宋" w:eastAsia="仿宋" w:cs="仿宋"/>
          <w:sz w:val="28"/>
          <w:szCs w:val="28"/>
          <w:highlight w:val="none"/>
        </w:rPr>
      </w:pP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第九条  付息和兑付</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委托中央国债登记结算有限责任公司代为拨付柜台债券本息款。中央国债登记结算有限责任公司在足额收到甲方的委托款项后，不迟于柜台债券付息/兑付日前一个工作日，向乙方支付其客户持有柜台债券的付息资金或付息资金加到期本金（视该日为利息支付日或本息支付日决定）。乙方应当于债券付息日或者到期日一次、足额将兑付资金划入柜台投资者资金账户。 </w:t>
      </w:r>
    </w:p>
    <w:p>
      <w:pPr>
        <w:spacing w:line="360" w:lineRule="auto"/>
        <w:ind w:firstLine="560" w:firstLineChars="200"/>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第十条  登记托管</w:t>
      </w:r>
    </w:p>
    <w:p>
      <w:pPr>
        <w:spacing w:line="360" w:lineRule="auto"/>
        <w:ind w:firstLine="470"/>
        <w:rPr>
          <w:rFonts w:hint="eastAsia" w:ascii="仿宋" w:hAnsi="仿宋" w:eastAsia="仿宋" w:cs="仿宋"/>
          <w:b/>
          <w:sz w:val="28"/>
          <w:szCs w:val="28"/>
          <w:highlight w:val="none"/>
        </w:rPr>
      </w:pPr>
      <w:r>
        <w:rPr>
          <w:rFonts w:hint="eastAsia" w:ascii="仿宋" w:hAnsi="仿宋" w:eastAsia="仿宋" w:cs="仿宋"/>
          <w:sz w:val="28"/>
          <w:szCs w:val="28"/>
          <w:highlight w:val="none"/>
        </w:rPr>
        <w:t>按照有关规定，柜台债券实行两级托管体制。中央国债登记结算有限责任公司为柜台债券的一级托管人，乙方为柜台债券的二级托管人。</w:t>
      </w:r>
    </w:p>
    <w:p>
      <w:pPr>
        <w:spacing w:line="360" w:lineRule="auto"/>
        <w:ind w:firstLine="470"/>
        <w:rPr>
          <w:rFonts w:hint="eastAsia" w:ascii="仿宋" w:hAnsi="仿宋" w:eastAsia="仿宋" w:cs="仿宋"/>
          <w:b/>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第十一条  信息披露</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一、甲方应按照监管机构相关规定做好柜台债券发行的信息披露工作。甲方应向市场发布发行办法、招投标书及发行公告等相关发行文件。</w:t>
      </w:r>
    </w:p>
    <w:p>
      <w:pPr>
        <w:numPr>
          <w:ilvl w:val="0"/>
          <w:numId w:val="1"/>
        </w:numPr>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甲方应在债券发行文件中载明是否允许在柜台市场分销债券及柜台债券计划分销最高限额。</w:t>
      </w:r>
    </w:p>
    <w:p>
      <w:pPr>
        <w:numPr>
          <w:ilvl w:val="0"/>
          <w:numId w:val="1"/>
        </w:numPr>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甲方应在债券发行文件中载明适用于柜台债券的投资者范围，包括个人、企业、金融机构等符合《办法》中规定的柜台投资者进行分销。</w:t>
      </w:r>
    </w:p>
    <w:p>
      <w:pPr>
        <w:numPr>
          <w:ilvl w:val="0"/>
          <w:numId w:val="1"/>
        </w:numPr>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甲方应在债券发行文件中载明本协议约定需载明的及适用于柜台债券的特殊事项。</w:t>
      </w:r>
    </w:p>
    <w:p>
      <w:pPr>
        <w:numPr>
          <w:ilvl w:val="0"/>
          <w:numId w:val="1"/>
        </w:numPr>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除非另行书面说明，甲方对于银行间市场的债券信息披露义务亦适用于柜台债券。</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二、乙方应按照监管机构相关规定做好柜台分销和交易债券的信息披露工作，包括但不限于及时披露可能影响柜台债券投资人权益的相关信息。</w:t>
      </w:r>
    </w:p>
    <w:p>
      <w:pPr>
        <w:spacing w:line="360" w:lineRule="auto"/>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第十二条   甲方权利和义务</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（一）甲方有权根据柜台债券计划发行总量，自主决定乙方柜台债券计划分销最高限额。</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（二）甲方有权与乙方协商确定适用于当期柜台债券的发行条件、程序和方式等。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（三）按照国家政策及财政部、监管机构相关文件和发行文件要求，甲方自主运用发债资金。</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（四）如遇发行环境发生重大变化,甲方有权在分销期开始前（乙方未开展预售或销售前）决定取消/减少柜台债券在柜台市场的分销或变更相关发行要素。</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（五）甲方有权根据债券发行需要和柜台业务开展情况，公平、合理地选择、增补或调整承办机构。</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（六）如乙方不再是</w:t>
      </w:r>
      <w:r>
        <w:rPr>
          <w:rFonts w:hint="eastAsia" w:ascii="仿宋" w:hAnsi="仿宋" w:eastAsia="仿宋" w:cs="仿宋"/>
          <w:sz w:val="28"/>
          <w:szCs w:val="28"/>
          <w:highlight w:val="none"/>
          <w:lang w:val="en-US" w:eastAsia="zh-CN"/>
        </w:rPr>
        <w:t>2021-2023年陕西省政府债券公开发行承销团成员，甲方将同时终止与乙方的柜台债券分销合作关系。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二、甲方义务：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（一）甲方应依约履行足额偿付到期柜台债券本息的义务。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（二）甲方应按本协议及各期债券发行文件的规定向乙方支付柜台分销手续费。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（三）甲方保证其采用的柜台债券发行方式符合财政部有关规定。</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（四）甲方应按本协议约定及时披露信息，并保证所披露信息的合法性、真实性、准确性和完备性。</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（五）甲方可组织乙方参加研讨会、座谈会等活动。</w:t>
      </w:r>
    </w:p>
    <w:p>
      <w:pPr>
        <w:spacing w:line="360" w:lineRule="auto"/>
        <w:ind w:firstLine="560" w:firstLineChars="200"/>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第十三条 乙方权利和义务</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一、乙方权利：</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（一）有权按照本协议约定参与本协议有效期内甲方各期柜台债券的分销。</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（二）向甲方收取其持有柜台债券的到期本金和利息，并代客户向甲方收取客户持有的柜台债券的到期本金和利息。</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（三）有权通过乙方渠道，按照甲方的债券发行文件，向个人、企业、金融机构等《办法》中规定的柜台投资者分销柜台债券。</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（四）按甲方的债券发行</w:t>
      </w:r>
      <w:r>
        <w:rPr>
          <w:rFonts w:hint="eastAsia" w:ascii="仿宋" w:hAnsi="仿宋" w:eastAsia="仿宋" w:cs="仿宋"/>
          <w:sz w:val="28"/>
          <w:szCs w:val="28"/>
          <w:highlight w:val="none"/>
          <w:lang w:eastAsia="zh-CN"/>
        </w:rPr>
        <w:t>文件</w:t>
      </w:r>
      <w:r>
        <w:rPr>
          <w:rFonts w:hint="eastAsia" w:ascii="仿宋" w:hAnsi="仿宋" w:eastAsia="仿宋" w:cs="仿宋"/>
          <w:sz w:val="28"/>
          <w:szCs w:val="28"/>
          <w:highlight w:val="none"/>
        </w:rPr>
        <w:t>，向甲方收取柜台分销手续费。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（五）对于甲方发行的各期柜台债券，乙方有权选择是否参与当期柜台债券分销。</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（六）有权终止与甲方的柜台债券分销合作关系，但须提前十个工作日书面通知甲方并征得甲方同意（以甲方收到书面通知之日起算）。</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（七）有权参加甲方组织的会议及活动。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（八）有权获得本协议项下柜台债券发行有关的所有应依法公告的信息。</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二、乙方义务：</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（一）具备法律法规和人民银行规定的从事柜台债券业务的资格条件。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（二）按时足额将柜台债券分销款项划入甲方指定的银行账户。甲方收取发行款的账户为：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收款户名：</w:t>
      </w:r>
      <w:r>
        <w:rPr>
          <w:rFonts w:hint="eastAsia" w:ascii="仿宋" w:hAnsi="仿宋" w:eastAsia="仿宋" w:cs="仿宋"/>
          <w:sz w:val="28"/>
          <w:szCs w:val="28"/>
          <w:highlight w:val="none"/>
          <w:lang w:val="en-US" w:eastAsia="zh-CN"/>
        </w:rPr>
        <w:t>陕西省财政厅地方财政库款</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收款账号：</w:t>
      </w:r>
      <w:r>
        <w:rPr>
          <w:rFonts w:hint="eastAsia" w:ascii="仿宋" w:hAnsi="仿宋" w:eastAsia="仿宋" w:cs="仿宋"/>
          <w:sz w:val="28"/>
          <w:szCs w:val="28"/>
          <w:highlight w:val="none"/>
          <w:lang w:val="en-US" w:eastAsia="zh-CN"/>
        </w:rPr>
        <w:t>260000000002271001</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lang w:val="en-US" w:eastAsia="zh-CN"/>
        </w:rPr>
        <w:t>国家金库陕西省分库</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收款行行号：</w:t>
      </w:r>
      <w:r>
        <w:rPr>
          <w:rFonts w:hint="eastAsia" w:ascii="仿宋" w:hAnsi="仿宋" w:eastAsia="仿宋" w:cs="仿宋"/>
          <w:sz w:val="28"/>
          <w:szCs w:val="28"/>
          <w:highlight w:val="none"/>
          <w:lang w:val="en-US" w:eastAsia="zh-CN"/>
        </w:rPr>
        <w:t>011791020018</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（三）在甲方及时、足额向乙方划转债券本息资金后，乙方应及时足额向乙方客户（甲方柜台债券持有人）划转柜台债券到期本金和利息，乙方没有义务垫付上述本金或利息。</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（四）积极组织和宣传向柜台投资者的分销工作，并严格按照柜台债券计划分销最高限额进行分销，不得超额销售。</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（五）应按照相关规定，做好甲方柜台债券分销工作和交易价格的报送工作。</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（六）乙方应将联络地址、电话、柜台债券分销和交易经办部门、授权代理人及其变更等情况及时书面通知甲方。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（七）乙方应按照柜台市场债券做市有关管理规定，通过其柜台、网银等营业渠道向个人、企业、金融机构及人民银行在《办法》中规定的其他投资者开展双边报价做市。</w:t>
      </w:r>
    </w:p>
    <w:p>
      <w:pPr>
        <w:spacing w:line="360" w:lineRule="auto"/>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第十四条 违约责任</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乙方如超额向甲方划付资金，必须向甲方递交多划资金退款申请，甲方在收到乙方退款申请后3个工作日内将多划资金退还乙方，对于多划资金滞留期间的利息，甲方不再返还；乙方如提前向甲方划付资金，必须向甲方递交退款申请，甲方在收到乙方退款申请后3个工作日内将资金退还乙方，对于该笔资金滞留期间的利息，甲方不再返还。</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甲方如未依约履行柜台债券还本付息义务或未按约定的时间向乙方支付柜台分销手续费，应立即足额向乙方补划有关款项；付款逾期一个工作日（不含）以上，未付部分应按万分之二点一的日利率向乙方支付违约金。</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三、乙方如借分销柜台债券之机超额分销债券，超额分销部分甲方不予确认，责任由乙方承担。</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四、乙方如未能依约支付分销的柜台债券分销款，应立即足额补划分销款，同时未付部分应按当期柜台债券票面利率向甲方补缴利息；缴款逾期一个工作日（不含）以上，甲方有权按未付部分万分之二点一的日利率向乙方收取违约金；缴款逾期三个工作日（不含）以上，甲方有权取消乙方未付款项部分的分销额度，乙方同时丧失甲方柜台债券分销资格，但对已分销的柜台债券仍应按本协议承担义务及支付违约金。</w:t>
      </w:r>
      <w:r>
        <w:rPr>
          <w:rFonts w:hint="eastAsia" w:ascii="仿宋" w:hAnsi="仿宋" w:eastAsia="仿宋" w:cs="仿宋"/>
          <w:sz w:val="28"/>
          <w:szCs w:val="28"/>
          <w:highlight w:val="none"/>
          <w:lang w:eastAsia="zh-CN"/>
        </w:rPr>
        <w:t>甲方收到乙方逾期缴款违约金之前，不向乙方支付柜台分销手续费。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五、甲、乙任何一方违反本协议约定给对方造成损失的，应承担赔偿责任。</w:t>
      </w:r>
    </w:p>
    <w:p>
      <w:pPr>
        <w:pStyle w:val="2"/>
        <w:spacing w:line="360" w:lineRule="auto"/>
        <w:ind w:firstLine="560" w:firstLineChars="200"/>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第十五条 协议的变更</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本协议的变更应经双方协商一致，达成书面协议。</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如在本协议有效期内，财政部关于通过商业银行柜台市场发行地方政府债券的有关规定发生变化时，甲乙双方应协商一致，对本协议进行修改。</w:t>
      </w:r>
    </w:p>
    <w:p>
      <w:pPr>
        <w:spacing w:line="360" w:lineRule="auto"/>
        <w:ind w:firstLine="550" w:firstLineChars="196"/>
        <w:rPr>
          <w:rFonts w:hint="eastAsia" w:ascii="仿宋" w:hAnsi="仿宋" w:eastAsia="仿宋" w:cs="仿宋"/>
          <w:b/>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第十六条 争议解决</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本协议发生争议或纠纷时，双方应通过协商解决；协商不成的，在甲方住所地的人民法院通过诉讼解决。 </w:t>
      </w:r>
    </w:p>
    <w:p>
      <w:pPr>
        <w:spacing w:line="360" w:lineRule="auto"/>
        <w:ind w:firstLine="560" w:firstLineChars="200"/>
        <w:rPr>
          <w:rFonts w:hint="eastAsia" w:ascii="仿宋" w:hAnsi="仿宋" w:eastAsia="仿宋" w:cs="仿宋"/>
          <w:sz w:val="28"/>
          <w:szCs w:val="28"/>
          <w:highlight w:val="none"/>
        </w:rPr>
      </w:pPr>
    </w:p>
    <w:p>
      <w:pPr>
        <w:spacing w:line="360" w:lineRule="auto"/>
        <w:ind w:firstLine="550"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第十七条  其他条款</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一、本协议项下附件包括：</w:t>
      </w:r>
    </w:p>
    <w:p>
      <w:pPr>
        <w:spacing w:line="360" w:lineRule="auto"/>
        <w:ind w:firstLine="548" w:firstLineChars="19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甲方关于发行相关债券的发行通知和信息披露文件、甲乙双方分别通过“财政部政府债券发行系统”出具的招标书和投标书、甲方关于当期债券的发行公告等相关发行文件</w:t>
      </w:r>
      <w:r>
        <w:rPr>
          <w:rFonts w:hint="eastAsia" w:ascii="仿宋" w:hAnsi="仿宋" w:eastAsia="仿宋" w:cs="仿宋"/>
          <w:sz w:val="28"/>
          <w:szCs w:val="28"/>
          <w:highlight w:val="none"/>
          <w:lang w:eastAsia="zh-CN"/>
        </w:rPr>
        <w:t>；</w:t>
      </w:r>
    </w:p>
    <w:p>
      <w:pPr>
        <w:spacing w:line="360" w:lineRule="auto"/>
        <w:ind w:firstLine="548" w:firstLineChars="19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（二）乙方委托分支机构代理签署本协议的授权书。</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附件为本协议不可分割的组成部分，与本协议具有同等法律效力。</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二、本协议的未尽事宜，经甲乙双方协商一致，可签订补充协议。补充协议为本协议不可分割的组成部分，与本协议具有同等法律效力。</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三、本协议正式文本一式</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份，甲</w:t>
      </w:r>
      <w:r>
        <w:rPr>
          <w:rFonts w:hint="eastAsia" w:ascii="仿宋" w:hAnsi="仿宋" w:eastAsia="仿宋" w:cs="仿宋"/>
          <w:sz w:val="28"/>
          <w:szCs w:val="28"/>
          <w:highlight w:val="none"/>
          <w:lang w:eastAsia="zh-CN"/>
        </w:rPr>
        <w:t>方执四份，</w:t>
      </w:r>
      <w:r>
        <w:rPr>
          <w:rFonts w:hint="eastAsia" w:ascii="仿宋" w:hAnsi="仿宋" w:eastAsia="仿宋" w:cs="仿宋"/>
          <w:sz w:val="28"/>
          <w:szCs w:val="28"/>
          <w:highlight w:val="none"/>
        </w:rPr>
        <w:t>乙方执一份，中央国债登记结算有限责任公司留存一份，具有同等法律效力。</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四、本协议经双方法定代表人或授权代理人签字并加盖公章之日起生效。</w:t>
      </w:r>
    </w:p>
    <w:p>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五、本协议有效期至【</w:t>
      </w: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】日。</w:t>
      </w: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（本页以下无正文，为</w:t>
      </w:r>
      <w:r>
        <w:rPr>
          <w:rFonts w:hint="eastAsia" w:ascii="仿宋" w:hAnsi="仿宋" w:eastAsia="仿宋" w:cs="仿宋"/>
          <w:sz w:val="28"/>
          <w:szCs w:val="28"/>
          <w:highlight w:val="none"/>
          <w:lang w:val="en-US" w:eastAsia="zh-CN"/>
        </w:rPr>
        <w:t>2023年陕西省政府债券通过商业银行柜台市场发行分销协议之签署页</w:t>
      </w:r>
      <w:r>
        <w:rPr>
          <w:rFonts w:hint="eastAsia" w:ascii="仿宋" w:hAnsi="仿宋" w:eastAsia="仿宋" w:cs="仿宋"/>
          <w:sz w:val="28"/>
          <w:szCs w:val="28"/>
          <w:highlight w:val="none"/>
          <w:lang w:eastAsia="zh-CN"/>
        </w:rPr>
        <w:t>）</w:t>
      </w: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（公章）</w:t>
      </w:r>
    </w:p>
    <w:p>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w:t>
      </w:r>
    </w:p>
    <w:p>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（或授权代理人）</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日</w:t>
      </w: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p>
    <w:p>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spacing w:line="3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w:t>
      </w:r>
    </w:p>
    <w:p>
      <w:pPr>
        <w:spacing w:line="360" w:lineRule="exact"/>
        <w:rPr>
          <w:highlight w:val="none"/>
        </w:rPr>
      </w:pPr>
      <w:r>
        <w:rPr>
          <w:rFonts w:hint="eastAsia" w:ascii="仿宋" w:hAnsi="仿宋" w:eastAsia="仿宋" w:cs="仿宋"/>
          <w:sz w:val="28"/>
          <w:szCs w:val="28"/>
          <w:highlight w:val="none"/>
        </w:rPr>
        <w:t>（或授权代理人）</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日</w:t>
      </w:r>
    </w:p>
    <w:p>
      <w:pPr>
        <w:rPr>
          <w:rFonts w:hint="eastAsia" w:ascii="仿宋" w:hAnsi="仿宋" w:eastAsia="仿宋"/>
          <w:szCs w:val="21"/>
          <w:highlight w:val="none"/>
        </w:rPr>
      </w:pPr>
    </w:p>
    <w:p>
      <w:pPr/>
    </w:p>
    <w:p>
      <w:pPr/>
      <w:bookmarkStart w:id="0" w:name="_GoBack"/>
      <w:bookmarkEnd w:id="0"/>
    </w:p>
    <w:sectPr>
      <w:headerReference r:id="rId3" w:type="default"/>
      <w:footerReference r:id="rId4" w:type="default"/>
      <w:pgSz w:w="11906" w:h="16838"/>
      <w:pgMar w:top="1440" w:right="1803" w:bottom="1440" w:left="1803" w:header="851" w:footer="992" w:gutter="0"/>
      <w:pgBorders>
        <w:top w:val="none" w:color="auto" w:sz="0" w:space="0"/>
        <w:left w:val="none" w:color="auto" w:sz="0" w:space="0"/>
        <w:bottom w:val="none" w:color="auto" w:sz="0" w:space="0"/>
        <w:right w:val="none" w:color="auto"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decorative"/>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path/>
              <v:fill on="f" focussize="0,0"/>
              <v:stroke on="f" weight="1.2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710B1"/>
    <w:rsid w:val="790710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adjustRightInd w:val="0"/>
      <w:spacing w:line="300" w:lineRule="auto"/>
      <w:ind w:firstLine="540"/>
    </w:pPr>
    <w:rPr>
      <w:rFonts w:ascii="仿宋_GB2312" w:hAnsi="Times New Roman" w:eastAsia="仿宋_GB2312"/>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2023-07-12T01:29:00Z</dcterms:created>
  <dc:creator>lenovo</dc:creator>
  <cp:lastModifiedBy>lenovo</cp:lastModifiedBy>
  <dcterms:modified xsi:type="dcterms:W3CDTF">2023-07-12T01:29:58Z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