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天津市</w:t>
      </w:r>
      <w:r>
        <w:rPr>
          <w:rFonts w:hint="eastAsia" w:ascii="方正小标宋简体" w:hAnsi="方正小标宋简体" w:eastAsia="方正小标宋简体" w:cs="方正小标宋简体"/>
          <w:sz w:val="44"/>
          <w:szCs w:val="44"/>
        </w:rPr>
        <w:t>政府债券承销协议</w:t>
      </w:r>
    </w:p>
    <w:p>
      <w:pPr>
        <w:pStyle w:val="4"/>
        <w:spacing w:before="150" w:beforeAutospacing="0" w:after="150" w:afterAutospacing="0" w:line="500" w:lineRule="exact"/>
        <w:ind w:firstLine="630"/>
        <w:jc w:val="both"/>
        <w:rPr>
          <w:rFonts w:ascii="仿宋_GB2312" w:hAnsi="彩虹粗仿宋" w:eastAsia="仿宋_GB2312" w:cs="Times New Roman"/>
          <w:b/>
          <w:kern w:val="2"/>
          <w:sz w:val="32"/>
          <w:szCs w:val="32"/>
        </w:rPr>
      </w:pPr>
    </w:p>
    <w:p>
      <w:pPr>
        <w:pStyle w:val="4"/>
        <w:spacing w:before="150" w:beforeAutospacing="0" w:after="150" w:afterAutospacing="0" w:line="500" w:lineRule="exact"/>
        <w:ind w:firstLine="630"/>
        <w:jc w:val="both"/>
        <w:rPr>
          <w:rFonts w:ascii="仿宋_GB2312" w:hAnsi="彩虹粗仿宋" w:eastAsia="仿宋_GB2312" w:cs="Times New Roman"/>
          <w:b/>
          <w:kern w:val="2"/>
          <w:sz w:val="32"/>
          <w:szCs w:val="32"/>
        </w:rPr>
      </w:pPr>
    </w:p>
    <w:p>
      <w:pPr>
        <w:pStyle w:val="4"/>
        <w:spacing w:before="150" w:beforeAutospacing="0" w:after="150" w:afterAutospacing="0" w:line="500" w:lineRule="exact"/>
        <w:ind w:firstLine="630"/>
        <w:jc w:val="both"/>
        <w:rPr>
          <w:rFonts w:ascii="仿宋_GB2312" w:hAnsi="彩虹粗仿宋" w:eastAsia="仿宋_GB2312" w:cs="Times New Roman"/>
          <w:b/>
          <w:kern w:val="2"/>
          <w:sz w:val="32"/>
          <w:szCs w:val="32"/>
        </w:rPr>
      </w:pPr>
    </w:p>
    <w:p>
      <w:pPr>
        <w:pStyle w:val="4"/>
        <w:spacing w:before="150" w:beforeAutospacing="0" w:after="150" w:afterAutospacing="0" w:line="500" w:lineRule="exact"/>
        <w:ind w:firstLine="630"/>
        <w:jc w:val="both"/>
        <w:rPr>
          <w:rFonts w:hint="eastAsia" w:ascii="仿宋_GB2312" w:hAnsi="彩虹粗仿宋" w:eastAsia="仿宋_GB2312" w:cs="Times New Roman"/>
          <w:b/>
          <w:kern w:val="2"/>
          <w:sz w:val="32"/>
          <w:szCs w:val="32"/>
          <w:lang w:eastAsia="zh-CN"/>
        </w:rPr>
      </w:pPr>
      <w:r>
        <w:rPr>
          <w:rFonts w:hint="eastAsia" w:ascii="仿宋_GB2312" w:hAnsi="彩虹粗仿宋" w:eastAsia="仿宋_GB2312" w:cs="Times New Roman"/>
          <w:b/>
          <w:kern w:val="2"/>
          <w:sz w:val="32"/>
          <w:szCs w:val="32"/>
        </w:rPr>
        <w:t>甲方：</w:t>
      </w:r>
      <w:r>
        <w:rPr>
          <w:rFonts w:hint="eastAsia" w:ascii="仿宋_GB2312" w:hAnsi="彩虹粗仿宋" w:eastAsia="仿宋_GB2312" w:cs="Times New Roman"/>
          <w:b/>
          <w:kern w:val="2"/>
          <w:sz w:val="32"/>
          <w:szCs w:val="32"/>
          <w:lang w:eastAsia="zh-CN"/>
        </w:rPr>
        <w:t>天津市</w:t>
      </w:r>
      <w:r>
        <w:rPr>
          <w:rFonts w:hint="eastAsia" w:ascii="仿宋_GB2312" w:hAnsi="彩虹粗仿宋" w:eastAsia="仿宋_GB2312" w:cs="Times New Roman"/>
          <w:b/>
          <w:kern w:val="2"/>
          <w:sz w:val="32"/>
          <w:szCs w:val="32"/>
        </w:rPr>
        <w:t>财政</w:t>
      </w:r>
      <w:r>
        <w:rPr>
          <w:rFonts w:hint="eastAsia" w:ascii="仿宋_GB2312" w:hAnsi="彩虹粗仿宋" w:eastAsia="仿宋_GB2312" w:cs="Times New Roman"/>
          <w:b/>
          <w:kern w:val="2"/>
          <w:sz w:val="32"/>
          <w:szCs w:val="32"/>
          <w:lang w:eastAsia="zh-CN"/>
        </w:rPr>
        <w:t>局</w:t>
      </w:r>
    </w:p>
    <w:p>
      <w:pPr>
        <w:pStyle w:val="4"/>
        <w:spacing w:before="150" w:beforeAutospacing="0" w:after="150" w:afterAutospacing="0" w:line="500" w:lineRule="exact"/>
        <w:ind w:firstLine="630"/>
        <w:jc w:val="both"/>
        <w:rPr>
          <w:rFonts w:hint="default" w:ascii="仿宋_GB2312" w:hAnsi="彩虹粗仿宋" w:eastAsia="仿宋_GB2312" w:cs="Times New Roman"/>
          <w:b/>
          <w:kern w:val="2"/>
          <w:sz w:val="32"/>
          <w:szCs w:val="32"/>
          <w:lang w:val="en-US" w:eastAsia="zh-CN"/>
        </w:rPr>
      </w:pPr>
      <w:r>
        <w:rPr>
          <w:rFonts w:hint="eastAsia" w:ascii="仿宋_GB2312" w:hAnsi="彩虹粗仿宋" w:eastAsia="仿宋_GB2312" w:cs="Times New Roman"/>
          <w:b/>
          <w:kern w:val="2"/>
          <w:sz w:val="32"/>
          <w:szCs w:val="32"/>
        </w:rPr>
        <w:t>地址：</w:t>
      </w:r>
      <w:r>
        <w:rPr>
          <w:rFonts w:hint="eastAsia" w:ascii="仿宋_GB2312" w:hAnsi="彩虹粗仿宋" w:eastAsia="仿宋_GB2312" w:cs="Times New Roman"/>
          <w:b/>
          <w:kern w:val="2"/>
          <w:sz w:val="32"/>
          <w:szCs w:val="32"/>
          <w:lang w:eastAsia="zh-CN"/>
        </w:rPr>
        <w:t>天津市和平区曲阜道</w:t>
      </w:r>
      <w:r>
        <w:rPr>
          <w:rFonts w:hint="eastAsia" w:ascii="仿宋_GB2312" w:hAnsi="彩虹粗仿宋" w:eastAsia="仿宋_GB2312" w:cs="Times New Roman"/>
          <w:b/>
          <w:kern w:val="2"/>
          <w:sz w:val="32"/>
          <w:szCs w:val="32"/>
          <w:lang w:val="en-US" w:eastAsia="zh-CN"/>
        </w:rPr>
        <w:t>4号</w:t>
      </w:r>
    </w:p>
    <w:p>
      <w:pPr>
        <w:pStyle w:val="4"/>
        <w:spacing w:before="150" w:beforeAutospacing="0" w:after="150" w:afterAutospacing="0" w:line="500" w:lineRule="exact"/>
        <w:ind w:firstLine="630"/>
        <w:jc w:val="both"/>
        <w:rPr>
          <w:rFonts w:ascii="仿宋_GB2312" w:hAnsi="彩虹粗仿宋" w:eastAsia="仿宋_GB2312" w:cs="Times New Roman"/>
          <w:b/>
          <w:kern w:val="2"/>
          <w:sz w:val="32"/>
          <w:szCs w:val="32"/>
        </w:rPr>
      </w:pPr>
    </w:p>
    <w:p>
      <w:pPr>
        <w:pStyle w:val="4"/>
        <w:spacing w:before="150" w:beforeAutospacing="0" w:after="150" w:afterAutospacing="0" w:line="500" w:lineRule="exact"/>
        <w:ind w:firstLine="630"/>
        <w:jc w:val="both"/>
        <w:rPr>
          <w:rFonts w:ascii="仿宋_GB2312" w:hAnsi="彩虹粗仿宋" w:eastAsia="仿宋_GB2312" w:cs="Times New Roman"/>
          <w:b/>
          <w:kern w:val="2"/>
          <w:sz w:val="32"/>
          <w:szCs w:val="32"/>
        </w:rPr>
      </w:pPr>
    </w:p>
    <w:p>
      <w:pPr>
        <w:pStyle w:val="4"/>
        <w:spacing w:before="150" w:beforeAutospacing="0" w:after="150" w:afterAutospacing="0" w:line="500" w:lineRule="exact"/>
        <w:ind w:firstLine="630"/>
        <w:jc w:val="both"/>
        <w:rPr>
          <w:rFonts w:ascii="仿宋_GB2312" w:hAnsi="彩虹粗仿宋" w:eastAsia="仿宋_GB2312" w:cs="Times New Roman"/>
          <w:b/>
          <w:kern w:val="2"/>
          <w:sz w:val="32"/>
          <w:szCs w:val="32"/>
        </w:rPr>
      </w:pPr>
    </w:p>
    <w:p>
      <w:pPr>
        <w:pStyle w:val="4"/>
        <w:spacing w:before="150" w:beforeAutospacing="0" w:after="150" w:afterAutospacing="0" w:line="500" w:lineRule="exact"/>
        <w:ind w:firstLine="630"/>
        <w:jc w:val="both"/>
        <w:rPr>
          <w:rFonts w:ascii="仿宋_GB2312" w:hAnsi="彩虹粗仿宋" w:eastAsia="仿宋_GB2312" w:cs="Times New Roman"/>
          <w:b/>
          <w:kern w:val="2"/>
          <w:sz w:val="32"/>
          <w:szCs w:val="32"/>
        </w:rPr>
      </w:pPr>
      <w:r>
        <w:rPr>
          <w:rFonts w:hint="eastAsia" w:ascii="仿宋_GB2312" w:hAnsi="彩虹粗仿宋" w:eastAsia="仿宋_GB2312" w:cs="Times New Roman"/>
          <w:b/>
          <w:kern w:val="2"/>
          <w:sz w:val="32"/>
          <w:szCs w:val="32"/>
        </w:rPr>
        <w:t>乙方：</w:t>
      </w:r>
    </w:p>
    <w:p>
      <w:pPr>
        <w:pStyle w:val="4"/>
        <w:spacing w:before="150" w:beforeAutospacing="0" w:after="150" w:afterAutospacing="0" w:line="500" w:lineRule="exact"/>
        <w:ind w:firstLine="630"/>
        <w:jc w:val="both"/>
        <w:rPr>
          <w:rFonts w:ascii="仿宋_GB2312" w:hAnsi="彩虹粗仿宋" w:eastAsia="仿宋_GB2312" w:cs="Times New Roman"/>
          <w:b/>
          <w:kern w:val="2"/>
          <w:sz w:val="32"/>
          <w:szCs w:val="32"/>
        </w:rPr>
      </w:pPr>
      <w:r>
        <w:rPr>
          <w:rFonts w:hint="eastAsia" w:ascii="仿宋_GB2312" w:hAnsi="彩虹粗仿宋" w:eastAsia="仿宋_GB2312" w:cs="Times New Roman"/>
          <w:b/>
          <w:kern w:val="2"/>
          <w:sz w:val="32"/>
          <w:szCs w:val="32"/>
        </w:rPr>
        <w:t>地址：</w:t>
      </w:r>
    </w:p>
    <w:p>
      <w:pPr>
        <w:adjustRightInd w:val="0"/>
        <w:snapToGrid w:val="0"/>
        <w:spacing w:line="360" w:lineRule="auto"/>
        <w:ind w:firstLine="415" w:firstLineChars="198"/>
        <w:rPr>
          <w:rFonts w:ascii="仿宋_GB2312" w:hAnsi="彩虹粗仿宋"/>
          <w:szCs w:val="32"/>
        </w:rPr>
      </w:pPr>
      <w:r>
        <w:rPr>
          <w:rFonts w:hint="eastAsia" w:ascii="仿宋_GB2312" w:hAnsi="彩虹粗仿宋"/>
          <w:szCs w:val="32"/>
        </w:rPr>
        <w:t xml:space="preserve">             </w:t>
      </w:r>
    </w:p>
    <w:p>
      <w:pPr>
        <w:adjustRightInd w:val="0"/>
        <w:snapToGrid w:val="0"/>
        <w:spacing w:line="560" w:lineRule="exact"/>
        <w:jc w:val="center"/>
        <w:rPr>
          <w:rFonts w:ascii="仿宋_GB2312" w:hAnsi="彩虹粗仿宋"/>
          <w:b/>
          <w:szCs w:val="32"/>
        </w:rPr>
      </w:pPr>
    </w:p>
    <w:p>
      <w:pPr>
        <w:adjustRightInd w:val="0"/>
        <w:snapToGrid w:val="0"/>
        <w:spacing w:line="560" w:lineRule="exact"/>
        <w:jc w:val="center"/>
        <w:rPr>
          <w:rFonts w:ascii="仿宋_GB2312" w:hAnsi="彩虹粗仿宋"/>
          <w:b/>
          <w:szCs w:val="32"/>
        </w:rPr>
      </w:pPr>
    </w:p>
    <w:p>
      <w:pPr>
        <w:widowControl/>
        <w:jc w:val="left"/>
        <w:rPr>
          <w:rFonts w:ascii="黑体" w:hAnsi="彩虹粗仿宋" w:eastAsia="黑体"/>
          <w:sz w:val="32"/>
          <w:szCs w:val="32"/>
        </w:rPr>
      </w:pPr>
      <w:r>
        <w:rPr>
          <w:rFonts w:ascii="黑体" w:hAnsi="彩虹粗仿宋" w:eastAsia="黑体"/>
          <w:sz w:val="32"/>
          <w:szCs w:val="32"/>
        </w:rPr>
        <w:br w:type="page"/>
      </w:r>
    </w:p>
    <w:p>
      <w:pPr>
        <w:adjustRightInd w:val="0"/>
        <w:snapToGrid w:val="0"/>
        <w:spacing w:line="520" w:lineRule="exact"/>
        <w:ind w:firstLine="640" w:firstLineChars="200"/>
        <w:jc w:val="center"/>
        <w:rPr>
          <w:rFonts w:ascii="黑体" w:hAnsi="彩虹粗仿宋" w:eastAsia="黑体"/>
          <w:sz w:val="32"/>
          <w:szCs w:val="32"/>
        </w:rPr>
      </w:pPr>
      <w:r>
        <w:rPr>
          <w:rFonts w:hint="eastAsia" w:ascii="黑体" w:hAnsi="彩虹粗仿宋" w:eastAsia="黑体"/>
          <w:sz w:val="32"/>
          <w:szCs w:val="32"/>
        </w:rPr>
        <w:t>第一章  总  则</w:t>
      </w:r>
    </w:p>
    <w:p>
      <w:pPr>
        <w:keepNext w:val="0"/>
        <w:keepLines w:val="0"/>
        <w:pageBreakBefore w:val="0"/>
        <w:kinsoku/>
        <w:wordWrap/>
        <w:overflowPunct/>
        <w:topLinePunct w:val="0"/>
        <w:autoSpaceDE/>
        <w:autoSpaceDN/>
        <w:bidi w:val="0"/>
        <w:spacing w:line="540" w:lineRule="exact"/>
        <w:ind w:firstLine="636" w:firstLineChars="19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根据《中华人民共和国民法典》、《财政部关于印发〈地方政府债券发行管理办法〉的通知》（财库</w:t>
      </w:r>
      <w:r>
        <w:rPr>
          <w:rFonts w:hint="default" w:ascii="Times New Roman" w:hAnsi="Times New Roman" w:eastAsia="仿宋_GB2312" w:cs="Times New Roman"/>
          <w:sz w:val="32"/>
          <w:szCs w:val="32"/>
        </w:rPr>
        <w:t>〔2020〕43号）及其他国家有关规定，经甲乙双方平等协商签定本协议。</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甲方在中国境内发行，由乙方参与承销的</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政府一般债券和专项债券（以下简称“</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政府债券”），其承销活动适用本协议。</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bCs/>
          <w:sz w:val="32"/>
          <w:szCs w:val="32"/>
        </w:rPr>
        <w:t>本协议所称</w:t>
      </w:r>
      <w:r>
        <w:rPr>
          <w:rFonts w:hint="default" w:ascii="Times New Roman" w:hAnsi="Times New Roman" w:eastAsia="仿宋_GB2312" w:cs="Times New Roman"/>
          <w:bCs/>
          <w:sz w:val="32"/>
          <w:szCs w:val="32"/>
          <w:lang w:eastAsia="zh-CN"/>
        </w:rPr>
        <w:t>天津市</w:t>
      </w:r>
      <w:r>
        <w:rPr>
          <w:rFonts w:hint="default" w:ascii="Times New Roman" w:hAnsi="Times New Roman" w:eastAsia="仿宋_GB2312" w:cs="Times New Roman"/>
          <w:bCs/>
          <w:sz w:val="32"/>
          <w:szCs w:val="32"/>
        </w:rPr>
        <w:t>政府债券，是指以</w:t>
      </w:r>
      <w:r>
        <w:rPr>
          <w:rFonts w:hint="default" w:ascii="Times New Roman" w:hAnsi="Times New Roman" w:eastAsia="仿宋_GB2312" w:cs="Times New Roman"/>
          <w:bCs/>
          <w:sz w:val="32"/>
          <w:szCs w:val="32"/>
          <w:lang w:eastAsia="zh-CN"/>
        </w:rPr>
        <w:t>天津市</w:t>
      </w:r>
      <w:r>
        <w:rPr>
          <w:rFonts w:hint="default" w:ascii="Times New Roman" w:hAnsi="Times New Roman" w:eastAsia="仿宋_GB2312" w:cs="Times New Roman"/>
          <w:bCs/>
          <w:sz w:val="32"/>
          <w:szCs w:val="32"/>
        </w:rPr>
        <w:t>人民政府作为债务人承担按期支付利息和归还本金责任，由</w:t>
      </w:r>
      <w:r>
        <w:rPr>
          <w:rFonts w:hint="default" w:ascii="Times New Roman" w:hAnsi="Times New Roman" w:eastAsia="仿宋_GB2312" w:cs="Times New Roman"/>
          <w:bCs/>
          <w:sz w:val="32"/>
          <w:szCs w:val="32"/>
          <w:lang w:eastAsia="zh-CN"/>
        </w:rPr>
        <w:t>天津市财政局</w:t>
      </w:r>
      <w:r>
        <w:rPr>
          <w:rFonts w:hint="default" w:ascii="Times New Roman" w:hAnsi="Times New Roman" w:eastAsia="仿宋_GB2312" w:cs="Times New Roman"/>
          <w:bCs/>
          <w:sz w:val="32"/>
          <w:szCs w:val="32"/>
        </w:rPr>
        <w:t>具体办理债券发行、支付利息和偿还本金等事项的可流通记账式债券。</w:t>
      </w:r>
    </w:p>
    <w:p>
      <w:pPr>
        <w:keepNext w:val="0"/>
        <w:keepLines w:val="0"/>
        <w:pageBreakBefore w:val="0"/>
        <w:kinsoku/>
        <w:wordWrap/>
        <w:overflowPunct/>
        <w:topLinePunct w:val="0"/>
        <w:autoSpaceDE/>
        <w:autoSpaceDN/>
        <w:bidi w:val="0"/>
        <w:spacing w:line="54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乙方为甲方组建的</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2024年天津市</w:t>
      </w:r>
      <w:r>
        <w:rPr>
          <w:rFonts w:hint="default" w:ascii="Times New Roman" w:hAnsi="Times New Roman" w:eastAsia="仿宋_GB2312" w:cs="Times New Roman"/>
          <w:sz w:val="32"/>
          <w:szCs w:val="32"/>
        </w:rPr>
        <w:t>政府债券承销团中的</w:t>
      </w:r>
      <w:r>
        <w:rPr>
          <w:rFonts w:hint="default" w:ascii="Times New Roman" w:hAnsi="Times New Roman" w:eastAsia="仿宋" w:cs="Times New Roman"/>
          <w:sz w:val="32"/>
          <w:szCs w:val="32"/>
          <w:u w:val="single"/>
        </w:rPr>
        <w:t xml:space="preserve">     </w:t>
      </w:r>
      <w:bookmarkStart w:id="0" w:name="_GoBack"/>
      <w:bookmarkEnd w:id="0"/>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（主承销商或一般承销商）。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center"/>
        <w:textAlignment w:val="auto"/>
        <w:rPr>
          <w:rFonts w:hint="default" w:ascii="Times New Roman" w:hAnsi="Times New Roman" w:eastAsia="仿宋_GB2312" w:cs="Times New Roman"/>
          <w:b/>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双方的权利和义务</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xml:space="preserve">  甲方权利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政府债券发行方式、招投标规则及发行兑付管理办法。</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政府债券发行计划，确定每期债券的发行时间、发行数量、期限、付息方式、发行费率以及发行款缴纳时间等。</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3.组织招标发行。</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4.监督检查乙方承销、分销、交易</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政府债券的情况，对乙方违反本协议规定，甲方予以公告。</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如承销团成员存在以欺骗、利益输送等不正当手段加入政府债券承销团等重大违法、违规行为，有权取消承销团成员资格，或如承销团成员在承销协议有效期内财务状况恶化，难以继续履行承销团成员义务的，有权取消承销团成员资格。</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第六条</w:t>
      </w:r>
      <w:r>
        <w:rPr>
          <w:rFonts w:hint="default" w:ascii="Times New Roman" w:hAnsi="Times New Roman" w:eastAsia="仿宋_GB2312" w:cs="Times New Roman"/>
          <w:sz w:val="32"/>
          <w:szCs w:val="32"/>
        </w:rPr>
        <w:t xml:space="preserve">  甲方义务</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1.根据相关规定，通过</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财政局门户网站、中国债券信息网等网站做好信息披露工作。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2.招标结束后，通过指定网站及时公布当期</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政府债券招标结果。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在甲方指定账户足额收到乙方发行款后5个工作日内（含第5个工作日），按当期</w:t>
      </w:r>
      <w:r>
        <w:rPr>
          <w:rFonts w:hint="default" w:ascii="Times New Roman" w:hAnsi="Times New Roman" w:eastAsia="仿宋_GB2312" w:cs="Times New Roman"/>
          <w:sz w:val="32"/>
          <w:szCs w:val="32"/>
          <w:lang w:eastAsia="zh-CN"/>
        </w:rPr>
        <w:t>天津</w:t>
      </w:r>
      <w:r>
        <w:rPr>
          <w:rFonts w:hint="default" w:ascii="Times New Roman" w:hAnsi="Times New Roman" w:eastAsia="仿宋_GB2312" w:cs="Times New Roman"/>
          <w:sz w:val="32"/>
          <w:szCs w:val="32"/>
        </w:rPr>
        <w:t>市政府债券发行文件规定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委托中央国债登记结算有限责任公司向乙方支付发行手续费。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.甲方在各期</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政府债券付息日及到期日，按时支付利息、偿还本金。</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第七条 </w:t>
      </w:r>
      <w:r>
        <w:rPr>
          <w:rFonts w:hint="default" w:ascii="Times New Roman" w:hAnsi="Times New Roman" w:eastAsia="仿宋_GB2312" w:cs="Times New Roman"/>
          <w:sz w:val="32"/>
          <w:szCs w:val="32"/>
        </w:rPr>
        <w:t>乙方权利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1.与甲方商定</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政府债券承销协议的条款内容。</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政府债券发行工作提出意见和建议。</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3.参与</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政府债券竞争性招标，向甲方直接承销</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4.按照</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政府债券发行文件规定，获取债券手续费收入。</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5.通过规定渠道及时获取</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政府债券发行信息。</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6.主承销商或一般承销商，可在其他相关业务宣传或合作中，使用“</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政府债券主承销商或</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政府债券承销商”这一称谓。</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第八条</w:t>
      </w:r>
      <w:r>
        <w:rPr>
          <w:rFonts w:hint="default" w:ascii="Times New Roman" w:hAnsi="Times New Roman" w:eastAsia="仿宋_GB2312" w:cs="Times New Roman"/>
          <w:sz w:val="32"/>
          <w:szCs w:val="32"/>
        </w:rPr>
        <w:t xml:space="preserve">  乙方义务</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1.开通与财政部政府债券发行系统中心端相联的专用通讯线路，保障通讯线路畅通，完善投标相关的软硬件设施。</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按照甲方公布的招标发行规则参加招投标活动，在合理价格区间内进行投标，投标应根据自身的承销商资格类别并满足债券招标发行规则中明确的主承销商或承销团一般成员最低、最高投标限额和最低承销额的规定</w:t>
      </w:r>
      <w:r>
        <w:rPr>
          <w:rFonts w:hint="default" w:ascii="Times New Roman" w:hAnsi="Times New Roman" w:eastAsia="仿宋_GB2312" w:cs="Times New Roman"/>
          <w:b/>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政府债券承销团成员之间不得进行代投标，不得串通投标。</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sz w:val="32"/>
          <w:szCs w:val="32"/>
        </w:rPr>
        <w:t>按照每期债券确定的承销额度及缴款时间向甲方缴纳发行款。</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.遵守国家法律法规和行业自律规范，及时向甲方报告本机构出现的重大违法行为或财务状况恶化等情况。</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.及时报送债券发行和销售情况，遵守市场交易规则，自觉维护市场秩序。提供债券发行费收款账户和投标应急联系人名单。</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.对发行承销工作获得有关非公开资料予以保密。</w:t>
      </w:r>
    </w:p>
    <w:p>
      <w:pPr>
        <w:keepNext w:val="0"/>
        <w:keepLines w:val="0"/>
        <w:pageBreakBefore w:val="0"/>
        <w:kinsoku/>
        <w:wordWrap/>
        <w:overflowPunct/>
        <w:topLinePunct w:val="0"/>
        <w:autoSpaceDE/>
        <w:autoSpaceDN/>
        <w:bidi w:val="0"/>
        <w:adjustRightInd w:val="0"/>
        <w:spacing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主承销商除应履行上述义务外，还应当履行下列义务：</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1.向甲方提供</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政府债券的发行定价、登记托管、上市交易、手续费率等咨询服务。</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w:t>
      </w:r>
      <w:r>
        <w:rPr>
          <w:rFonts w:hint="eastAsia"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报送债券市场运行分析报告，并就改进债券发行和促进债券市场发展提出建议。</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违约责任及罚则</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第九条</w:t>
      </w:r>
      <w:r>
        <w:rPr>
          <w:rFonts w:hint="default" w:ascii="Times New Roman" w:hAnsi="Times New Roman" w:eastAsia="仿宋_GB2312" w:cs="Times New Roman"/>
          <w:sz w:val="32"/>
          <w:szCs w:val="32"/>
        </w:rPr>
        <w:t xml:space="preserve">  除发生不可抗力外，违约责任按以下各项执行：</w:t>
      </w:r>
    </w:p>
    <w:p>
      <w:pPr>
        <w:pStyle w:val="4"/>
        <w:keepNext w:val="0"/>
        <w:keepLines w:val="0"/>
        <w:pageBreakBefore w:val="0"/>
        <w:kinsoku/>
        <w:wordWrap/>
        <w:overflowPunct/>
        <w:topLinePunct w:val="0"/>
        <w:autoSpaceDE/>
        <w:autoSpaceDN/>
        <w:bidi w:val="0"/>
        <w:spacing w:before="0" w:beforeAutospacing="0" w:after="0" w:afterAutospacing="0" w:line="540" w:lineRule="exact"/>
        <w:ind w:firstLine="616" w:firstLineChars="200"/>
        <w:jc w:val="both"/>
        <w:textAlignment w:val="auto"/>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spacing w:val="-6"/>
          <w:kern w:val="2"/>
          <w:sz w:val="32"/>
          <w:szCs w:val="32"/>
        </w:rPr>
        <w:t>1.甲方违反本协议第六条第</w:t>
      </w:r>
      <w:r>
        <w:rPr>
          <w:rFonts w:hint="eastAsia" w:ascii="Times New Roman" w:hAnsi="Times New Roman" w:eastAsia="仿宋_GB2312" w:cs="Times New Roman"/>
          <w:spacing w:val="-6"/>
          <w:kern w:val="2"/>
          <w:sz w:val="32"/>
          <w:szCs w:val="32"/>
          <w:lang w:val="en-US" w:eastAsia="zh-CN"/>
        </w:rPr>
        <w:t>3</w:t>
      </w:r>
      <w:r>
        <w:rPr>
          <w:rFonts w:hint="default" w:ascii="Times New Roman" w:hAnsi="Times New Roman" w:eastAsia="仿宋_GB2312" w:cs="Times New Roman"/>
          <w:spacing w:val="-6"/>
          <w:kern w:val="2"/>
          <w:sz w:val="32"/>
          <w:szCs w:val="32"/>
        </w:rPr>
        <w:t>、</w:t>
      </w:r>
      <w:r>
        <w:rPr>
          <w:rFonts w:hint="eastAsia" w:ascii="Times New Roman" w:hAnsi="Times New Roman" w:eastAsia="仿宋_GB2312" w:cs="Times New Roman"/>
          <w:spacing w:val="-6"/>
          <w:kern w:val="2"/>
          <w:sz w:val="32"/>
          <w:szCs w:val="32"/>
          <w:lang w:val="en-US" w:eastAsia="zh-CN"/>
        </w:rPr>
        <w:t>4</w:t>
      </w:r>
      <w:r>
        <w:rPr>
          <w:rFonts w:hint="default" w:ascii="Times New Roman" w:hAnsi="Times New Roman" w:eastAsia="仿宋_GB2312" w:cs="Times New Roman"/>
          <w:spacing w:val="-6"/>
          <w:kern w:val="2"/>
          <w:sz w:val="32"/>
          <w:szCs w:val="32"/>
        </w:rPr>
        <w:t>款规定，未按时足额向乙方支付债券发行费、支付利息、偿还本金的，按逾期支付额和逾期天数，以当期债券票面利率的两倍折成日息向乙方支付违约金。</w:t>
      </w:r>
    </w:p>
    <w:p>
      <w:pPr>
        <w:pStyle w:val="4"/>
        <w:keepNext w:val="0"/>
        <w:keepLines w:val="0"/>
        <w:pageBreakBefore w:val="0"/>
        <w:kinsoku/>
        <w:wordWrap/>
        <w:overflowPunct/>
        <w:topLinePunct w:val="0"/>
        <w:autoSpaceDE/>
        <w:autoSpaceDN/>
        <w:bidi w:val="0"/>
        <w:spacing w:before="0" w:beforeAutospacing="0" w:after="0" w:afterAutospacing="0" w:line="540" w:lineRule="exact"/>
        <w:ind w:firstLine="624" w:firstLineChars="200"/>
        <w:jc w:val="both"/>
        <w:textAlignment w:val="auto"/>
        <w:rPr>
          <w:rFonts w:hint="default" w:ascii="Times New Roman" w:hAnsi="Times New Roman" w:eastAsia="仿宋_GB2312" w:cs="Times New Roman"/>
          <w:spacing w:val="-4"/>
          <w:kern w:val="2"/>
          <w:sz w:val="32"/>
          <w:szCs w:val="32"/>
        </w:rPr>
      </w:pPr>
      <w:r>
        <w:rPr>
          <w:rFonts w:hint="default" w:ascii="Times New Roman" w:hAnsi="Times New Roman" w:eastAsia="仿宋_GB2312" w:cs="Times New Roman"/>
          <w:spacing w:val="-4"/>
          <w:kern w:val="2"/>
          <w:sz w:val="32"/>
          <w:szCs w:val="32"/>
        </w:rPr>
        <w:t>2.乙方违反本协议第八条第</w:t>
      </w:r>
      <w:r>
        <w:rPr>
          <w:rFonts w:hint="eastAsia" w:ascii="Times New Roman" w:hAnsi="Times New Roman" w:eastAsia="仿宋_GB2312" w:cs="Times New Roman"/>
          <w:spacing w:val="-4"/>
          <w:kern w:val="2"/>
          <w:sz w:val="32"/>
          <w:szCs w:val="32"/>
          <w:lang w:val="en-US" w:eastAsia="zh-CN"/>
        </w:rPr>
        <w:t>4</w:t>
      </w:r>
      <w:r>
        <w:rPr>
          <w:rFonts w:hint="default" w:ascii="Times New Roman" w:hAnsi="Times New Roman" w:eastAsia="仿宋_GB2312" w:cs="Times New Roman"/>
          <w:spacing w:val="-4"/>
          <w:kern w:val="2"/>
          <w:sz w:val="32"/>
          <w:szCs w:val="32"/>
        </w:rPr>
        <w:t>款规定，未按时缴付发行款，按逾期支付额和逾期天数，以当期债券票面利率的两倍折成日息向甲方支付违约金，违约金由甲方先从应拨乙方的发行费中抵扣，发行费不足以抵扣部分，由乙方在缴款日后5个工作日内缴清。</w:t>
      </w:r>
    </w:p>
    <w:p>
      <w:pPr>
        <w:keepNext w:val="0"/>
        <w:keepLines w:val="0"/>
        <w:pageBreakBefore w:val="0"/>
        <w:kinsoku/>
        <w:wordWrap/>
        <w:overflowPunct/>
        <w:topLinePunct w:val="0"/>
        <w:autoSpaceDE/>
        <w:autoSpaceDN/>
        <w:bidi w:val="0"/>
        <w:spacing w:line="540" w:lineRule="exact"/>
        <w:ind w:firstLine="633" w:firstLineChars="198"/>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如乙方为主承销商，</w:t>
      </w:r>
      <w:r>
        <w:rPr>
          <w:rFonts w:hint="default" w:ascii="Times New Roman" w:hAnsi="Times New Roman" w:eastAsia="仿宋_GB2312" w:cs="Times New Roman"/>
          <w:sz w:val="32"/>
          <w:szCs w:val="32"/>
          <w:lang w:eastAsia="zh-CN"/>
        </w:rPr>
        <w:t>如</w:t>
      </w:r>
      <w:r>
        <w:rPr>
          <w:rFonts w:hint="default" w:ascii="Times New Roman" w:hAnsi="Times New Roman" w:eastAsia="仿宋_GB2312" w:cs="Times New Roman"/>
          <w:sz w:val="32"/>
          <w:szCs w:val="32"/>
        </w:rPr>
        <w:t>年度内未按照最低标准承销（主承销商标准）天津市政府债券，甲方有权将乙方降为承销团一般成员，</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向社会公告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同时乙方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年之内不得</w:t>
      </w:r>
      <w:r>
        <w:rPr>
          <w:rFonts w:hint="default" w:ascii="Times New Roman" w:hAnsi="Times New Roman" w:eastAsia="仿宋_GB2312" w:cs="Times New Roman"/>
          <w:sz w:val="32"/>
          <w:szCs w:val="32"/>
          <w:lang w:eastAsia="zh-CN"/>
        </w:rPr>
        <w:t>再次成为天津市</w:t>
      </w:r>
      <w:r>
        <w:rPr>
          <w:rFonts w:hint="default" w:ascii="Times New Roman" w:hAnsi="Times New Roman" w:eastAsia="仿宋_GB2312" w:cs="Times New Roman"/>
          <w:sz w:val="32"/>
          <w:szCs w:val="32"/>
        </w:rPr>
        <w:t>政府债券承销团</w:t>
      </w:r>
      <w:r>
        <w:rPr>
          <w:rFonts w:hint="default" w:ascii="Times New Roman" w:hAnsi="Times New Roman" w:eastAsia="仿宋_GB2312" w:cs="Times New Roman"/>
          <w:sz w:val="32"/>
          <w:szCs w:val="32"/>
          <w:lang w:eastAsia="zh-CN"/>
        </w:rPr>
        <w:t>主承销商。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如乙方为</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承销商</w:t>
      </w:r>
      <w:r>
        <w:rPr>
          <w:rFonts w:hint="default" w:ascii="Times New Roman" w:hAnsi="Times New Roman" w:eastAsia="仿宋_GB2312" w:cs="Times New Roman"/>
          <w:sz w:val="32"/>
          <w:szCs w:val="32"/>
          <w:lang w:eastAsia="zh-CN"/>
        </w:rPr>
        <w:t>，如</w:t>
      </w:r>
      <w:r>
        <w:rPr>
          <w:rFonts w:hint="default" w:ascii="Times New Roman" w:hAnsi="Times New Roman" w:eastAsia="仿宋_GB2312" w:cs="Times New Roman"/>
          <w:sz w:val="32"/>
          <w:szCs w:val="32"/>
        </w:rPr>
        <w:t>年度内未按照最低标准承销（一般承销商标准）天津市政府债券，</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有权取消其承销团成员资格，终止与其签订的承销协议，并向社会公告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同时乙方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年之内不得</w:t>
      </w:r>
      <w:r>
        <w:rPr>
          <w:rFonts w:hint="default" w:ascii="Times New Roman" w:hAnsi="Times New Roman" w:eastAsia="仿宋_GB2312" w:cs="Times New Roman"/>
          <w:sz w:val="32"/>
          <w:szCs w:val="32"/>
          <w:lang w:eastAsia="zh-CN"/>
        </w:rPr>
        <w:t>再次成为天津市</w:t>
      </w:r>
      <w:r>
        <w:rPr>
          <w:rFonts w:hint="default" w:ascii="Times New Roman" w:hAnsi="Times New Roman" w:eastAsia="仿宋_GB2312" w:cs="Times New Roman"/>
          <w:sz w:val="32"/>
          <w:szCs w:val="32"/>
        </w:rPr>
        <w:t>政府债券承销团</w:t>
      </w:r>
      <w:r>
        <w:rPr>
          <w:rFonts w:hint="default" w:ascii="Times New Roman" w:hAnsi="Times New Roman" w:eastAsia="仿宋_GB2312" w:cs="Times New Roman"/>
          <w:sz w:val="32"/>
          <w:szCs w:val="32"/>
          <w:lang w:eastAsia="zh-CN"/>
        </w:rPr>
        <w:t>成员。</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乙方有下列行为之一的，甲方有权解除本协议并向社会公告，同时乙方2年之内不得申请加入</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政府债券承销团：</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（1）存在以欺骗、利益输送等不正当手段加入承销团。</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（2）财务状况恶化，难以继续履行</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政府债券承销团成员义务。</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（3）严重不正当投标行为、操纵二级市场行为；超承销额度分销，违规向承销团其他成员分销；发布关于</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政府债券虚假信息等重大违法行为或者严重违反</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政府债券相关管理政策规定行为的；</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（4）年度发行任务完成后，债券投标量达到规定比例（一般承销商标准）的累计期数不足当年公开发行的天津市政府债券期数50%的；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年度发行任务完成后，承销</w:t>
      </w:r>
      <w:r>
        <w:rPr>
          <w:rFonts w:hint="default" w:ascii="Times New Roman" w:hAnsi="Times New Roman" w:eastAsia="仿宋_GB2312" w:cs="Times New Roman"/>
          <w:sz w:val="32"/>
          <w:szCs w:val="32"/>
          <w:lang w:eastAsia="zh-CN"/>
        </w:rPr>
        <w:t>天津市政府</w:t>
      </w:r>
      <w:r>
        <w:rPr>
          <w:rFonts w:hint="default" w:ascii="Times New Roman" w:hAnsi="Times New Roman" w:eastAsia="仿宋_GB2312" w:cs="Times New Roman"/>
          <w:sz w:val="32"/>
          <w:szCs w:val="32"/>
        </w:rPr>
        <w:t>债券为0的；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出现其他严重违反本协议约定及</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政府债券发行文件规定的行为。</w:t>
      </w:r>
    </w:p>
    <w:p>
      <w:pPr>
        <w:keepNext w:val="0"/>
        <w:keepLines w:val="0"/>
        <w:pageBreakBefore w:val="0"/>
        <w:kinsoku/>
        <w:wordWrap/>
        <w:overflowPunct/>
        <w:topLinePunct w:val="0"/>
        <w:autoSpaceDE/>
        <w:autoSpaceDN/>
        <w:bidi w:val="0"/>
        <w:adjustRightInd w:val="0"/>
        <w:snapToGrid w:val="0"/>
        <w:spacing w:line="540" w:lineRule="exact"/>
        <w:ind w:firstLine="643" w:firstLineChars="200"/>
        <w:jc w:val="center"/>
        <w:textAlignment w:val="auto"/>
        <w:rPr>
          <w:rFonts w:hint="default" w:ascii="Times New Roman" w:hAnsi="Times New Roman" w:eastAsia="仿宋_GB2312" w:cs="Times New Roman"/>
          <w:b/>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附  则</w:t>
      </w:r>
    </w:p>
    <w:p>
      <w:pPr>
        <w:keepNext w:val="0"/>
        <w:keepLines w:val="0"/>
        <w:pageBreakBefore w:val="0"/>
        <w:kinsoku/>
        <w:wordWrap/>
        <w:overflowPunct/>
        <w:topLinePunct w:val="0"/>
        <w:autoSpaceDE/>
        <w:autoSpaceDN/>
        <w:bidi w:val="0"/>
        <w:adjustRightInd w:val="0"/>
        <w:snapToGrid w:val="0"/>
        <w:spacing w:line="540" w:lineRule="exact"/>
        <w:ind w:firstLine="627"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spacing w:val="-4"/>
          <w:sz w:val="32"/>
          <w:szCs w:val="32"/>
        </w:rPr>
        <w:t>第十条</w:t>
      </w:r>
      <w:r>
        <w:rPr>
          <w:rFonts w:hint="default" w:ascii="Times New Roman" w:hAnsi="Times New Roman" w:eastAsia="仿宋_GB2312" w:cs="Times New Roman"/>
          <w:spacing w:val="-4"/>
          <w:sz w:val="32"/>
          <w:szCs w:val="32"/>
        </w:rPr>
        <w:t xml:space="preserve">  在本协议有效期内，国家有关地方政府债券发行、登记托管及流通转让政策发生变化，以变化后的国家有关政策为准。</w:t>
      </w:r>
    </w:p>
    <w:p>
      <w:pPr>
        <w:keepNext w:val="0"/>
        <w:keepLines w:val="0"/>
        <w:pageBreakBefore w:val="0"/>
        <w:tabs>
          <w:tab w:val="left" w:pos="1080"/>
        </w:tabs>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第十一条  </w:t>
      </w:r>
      <w:r>
        <w:rPr>
          <w:rFonts w:hint="default" w:ascii="Times New Roman" w:hAnsi="Times New Roman" w:eastAsia="仿宋_GB2312" w:cs="Times New Roman"/>
          <w:sz w:val="32"/>
          <w:szCs w:val="32"/>
        </w:rPr>
        <w:t>对本协议的修改和解释，由甲乙双方以书面补充协议形式作出。补充协议为本协议不可分割的部分，与本协议正文具有同等法律效力。本协议未尽事宜，以我国法律、法规及财政部部门规章、规范性文件为准。</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第十一条  </w:t>
      </w:r>
      <w:r>
        <w:rPr>
          <w:rFonts w:hint="default" w:ascii="Times New Roman" w:hAnsi="Times New Roman" w:eastAsia="仿宋_GB2312" w:cs="Times New Roman"/>
          <w:sz w:val="32"/>
          <w:szCs w:val="32"/>
        </w:rPr>
        <w:t>乙方可委托其在</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的分支机构代理签署本协议，并附总行（总公司）委托其分支机构签约的授权委托书。</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第十二条  </w:t>
      </w:r>
      <w:r>
        <w:rPr>
          <w:rFonts w:hint="default" w:ascii="Times New Roman" w:hAnsi="Times New Roman" w:eastAsia="仿宋_GB2312" w:cs="Times New Roman"/>
          <w:sz w:val="32"/>
          <w:szCs w:val="32"/>
        </w:rPr>
        <w:t>本协议自甲乙双方法定代表人或授权代表签字，并盖公章后生效，至</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年12月31日终止。</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第十三条  </w:t>
      </w:r>
      <w:r>
        <w:rPr>
          <w:rFonts w:hint="default" w:ascii="Times New Roman" w:hAnsi="Times New Roman" w:eastAsia="仿宋_GB2312" w:cs="Times New Roman"/>
          <w:sz w:val="32"/>
          <w:szCs w:val="32"/>
        </w:rPr>
        <w:t>本协议正式文本壹式</w:t>
      </w:r>
      <w:r>
        <w:rPr>
          <w:rFonts w:hint="default" w:ascii="Times New Roman" w:hAnsi="Times New Roman" w:eastAsia="仿宋_GB2312" w:cs="Times New Roman"/>
          <w:sz w:val="32"/>
          <w:szCs w:val="32"/>
          <w:lang w:eastAsia="zh-CN"/>
        </w:rPr>
        <w:t>贰</w:t>
      </w:r>
      <w:r>
        <w:rPr>
          <w:rFonts w:hint="default" w:ascii="Times New Roman" w:hAnsi="Times New Roman" w:eastAsia="仿宋_GB2312" w:cs="Times New Roman"/>
          <w:sz w:val="32"/>
          <w:szCs w:val="32"/>
        </w:rPr>
        <w:t>份，甲乙双方各执壹份，具有同等法律效力。</w:t>
      </w:r>
    </w:p>
    <w:p>
      <w:pPr>
        <w:keepNext w:val="0"/>
        <w:keepLines w:val="0"/>
        <w:pageBreakBefore w:val="0"/>
        <w:kinsoku/>
        <w:wordWrap/>
        <w:overflowPunct/>
        <w:topLinePunct w:val="0"/>
        <w:autoSpaceDE/>
        <w:autoSpaceDN/>
        <w:bidi w:val="0"/>
        <w:adjustRightInd w:val="0"/>
        <w:snapToGrid w:val="0"/>
        <w:spacing w:line="540" w:lineRule="exact"/>
        <w:ind w:firstLine="960" w:firstLineChars="300"/>
        <w:textAlignment w:val="auto"/>
        <w:rPr>
          <w:rFonts w:hint="default" w:ascii="Times New Roman" w:hAnsi="Times New Roman" w:eastAsia="仿宋_GB2312" w:cs="Times New Roman"/>
          <w:sz w:val="32"/>
          <w:szCs w:val="32"/>
        </w:rPr>
      </w:pPr>
    </w:p>
    <w:p>
      <w:pPr>
        <w:adjustRightInd w:val="0"/>
        <w:snapToGrid w:val="0"/>
        <w:spacing w:line="520" w:lineRule="exact"/>
        <w:rPr>
          <w:rFonts w:hint="default" w:ascii="Times New Roman" w:hAnsi="Times New Roman" w:eastAsia="仿宋_GB2312" w:cs="Times New Roman"/>
          <w:sz w:val="32"/>
          <w:szCs w:val="32"/>
        </w:rPr>
      </w:pPr>
    </w:p>
    <w:p>
      <w:pPr>
        <w:adjustRightInd w:val="0"/>
        <w:snapToGrid w:val="0"/>
        <w:spacing w:line="520" w:lineRule="exact"/>
        <w:ind w:firstLine="960" w:firstLineChars="300"/>
        <w:rPr>
          <w:rFonts w:hint="default" w:ascii="Times New Roman" w:hAnsi="Times New Roman" w:eastAsia="仿宋_GB2312" w:cs="Times New Roman"/>
          <w:sz w:val="32"/>
          <w:szCs w:val="32"/>
        </w:rPr>
      </w:pPr>
    </w:p>
    <w:p>
      <w:pPr>
        <w:adjustRightInd w:val="0"/>
        <w:snapToGrid w:val="0"/>
        <w:spacing w:line="520" w:lineRule="exact"/>
        <w:ind w:firstLine="960" w:firstLineChars="300"/>
        <w:rPr>
          <w:rFonts w:hint="default" w:ascii="Times New Roman" w:hAnsi="Times New Roman" w:eastAsia="仿宋_GB2312" w:cs="Times New Roman"/>
          <w:sz w:val="32"/>
          <w:szCs w:val="32"/>
        </w:rPr>
      </w:pPr>
    </w:p>
    <w:p>
      <w:pPr>
        <w:adjustRightInd w:val="0"/>
        <w:snapToGrid w:val="0"/>
        <w:spacing w:line="520" w:lineRule="exact"/>
        <w:ind w:firstLine="960" w:firstLineChars="300"/>
        <w:rPr>
          <w:rFonts w:hint="default" w:ascii="Times New Roman" w:hAnsi="Times New Roman" w:eastAsia="仿宋_GB2312" w:cs="Times New Roman"/>
          <w:sz w:val="32"/>
          <w:szCs w:val="32"/>
        </w:rPr>
      </w:pPr>
    </w:p>
    <w:p>
      <w:pPr>
        <w:adjustRightInd w:val="0"/>
        <w:snapToGrid w:val="0"/>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甲方（盖章）：                 乙方（盖章）：</w:t>
      </w:r>
    </w:p>
    <w:p>
      <w:pPr>
        <w:adjustRightInd w:val="0"/>
        <w:snapToGrid w:val="0"/>
        <w:spacing w:line="520" w:lineRule="exact"/>
        <w:ind w:firstLine="1433" w:firstLineChars="448"/>
        <w:rPr>
          <w:rFonts w:hint="default" w:ascii="Times New Roman" w:hAnsi="Times New Roman" w:eastAsia="仿宋_GB2312" w:cs="Times New Roman"/>
          <w:sz w:val="32"/>
          <w:szCs w:val="32"/>
        </w:rPr>
      </w:pPr>
    </w:p>
    <w:p>
      <w:pPr>
        <w:adjustRightInd w:val="0"/>
        <w:snapToGrid w:val="0"/>
        <w:spacing w:line="520" w:lineRule="exact"/>
        <w:ind w:firstLine="1433" w:firstLineChars="448"/>
        <w:rPr>
          <w:rFonts w:hint="default" w:ascii="Times New Roman" w:hAnsi="Times New Roman" w:eastAsia="仿宋_GB2312" w:cs="Times New Roman"/>
          <w:sz w:val="32"/>
          <w:szCs w:val="32"/>
        </w:rPr>
      </w:pPr>
    </w:p>
    <w:p>
      <w:pPr>
        <w:adjustRightInd w:val="0"/>
        <w:snapToGrid w:val="0"/>
        <w:spacing w:line="520" w:lineRule="exact"/>
        <w:ind w:firstLine="1433" w:firstLineChars="448"/>
        <w:rPr>
          <w:rFonts w:hint="default" w:ascii="Times New Roman" w:hAnsi="Times New Roman" w:eastAsia="仿宋_GB2312" w:cs="Times New Roman"/>
          <w:sz w:val="32"/>
          <w:szCs w:val="32"/>
        </w:rPr>
      </w:pPr>
    </w:p>
    <w:p>
      <w:pPr>
        <w:adjustRightInd w:val="0"/>
        <w:snapToGrid w:val="0"/>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法人代表或授权代表：           法人代表或授权代表：</w:t>
      </w:r>
    </w:p>
    <w:p>
      <w:pPr>
        <w:adjustRightInd w:val="0"/>
        <w:snapToGrid w:val="0"/>
        <w:spacing w:line="52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（签章）                       （签章）</w:t>
      </w:r>
    </w:p>
    <w:p>
      <w:pPr>
        <w:adjustRightInd w:val="0"/>
        <w:snapToGrid w:val="0"/>
        <w:spacing w:line="520" w:lineRule="exact"/>
        <w:jc w:val="left"/>
        <w:rPr>
          <w:rFonts w:hint="default" w:ascii="Times New Roman" w:hAnsi="Times New Roman" w:eastAsia="仿宋_GB2312" w:cs="Times New Roman"/>
          <w:sz w:val="32"/>
          <w:szCs w:val="32"/>
        </w:rPr>
      </w:pPr>
    </w:p>
    <w:p>
      <w:pPr>
        <w:adjustRightInd w:val="0"/>
        <w:snapToGrid w:val="0"/>
        <w:spacing w:line="520" w:lineRule="exact"/>
        <w:jc w:val="left"/>
        <w:rPr>
          <w:rFonts w:hint="default" w:ascii="Times New Roman" w:hAnsi="Times New Roman" w:eastAsia="仿宋_GB2312" w:cs="Times New Roman"/>
          <w:sz w:val="32"/>
          <w:szCs w:val="32"/>
        </w:rPr>
      </w:pPr>
    </w:p>
    <w:p>
      <w:pPr>
        <w:adjustRightInd w:val="0"/>
        <w:snapToGrid w:val="0"/>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签署日期：  年  月  日         签署日期：  年  月  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彩虹粗仿宋">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Courier New"/>
    <w:panose1 w:val="00000000000000000000"/>
    <w:charset w:val="00"/>
    <w:family w:val="roman"/>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3F2F"/>
    <w:rsid w:val="0003553E"/>
    <w:rsid w:val="000412D2"/>
    <w:rsid w:val="000C733E"/>
    <w:rsid w:val="000E3455"/>
    <w:rsid w:val="00162A6D"/>
    <w:rsid w:val="0018207F"/>
    <w:rsid w:val="001F2515"/>
    <w:rsid w:val="001F4253"/>
    <w:rsid w:val="00235323"/>
    <w:rsid w:val="00286106"/>
    <w:rsid w:val="003050C2"/>
    <w:rsid w:val="003751B4"/>
    <w:rsid w:val="00496C6A"/>
    <w:rsid w:val="004E3665"/>
    <w:rsid w:val="00531EBC"/>
    <w:rsid w:val="00554E6F"/>
    <w:rsid w:val="00574E97"/>
    <w:rsid w:val="005F3B60"/>
    <w:rsid w:val="00635D11"/>
    <w:rsid w:val="006951C3"/>
    <w:rsid w:val="006B5311"/>
    <w:rsid w:val="006D370E"/>
    <w:rsid w:val="00760311"/>
    <w:rsid w:val="007635E8"/>
    <w:rsid w:val="00793A80"/>
    <w:rsid w:val="00986984"/>
    <w:rsid w:val="009A4306"/>
    <w:rsid w:val="009A6F98"/>
    <w:rsid w:val="009E2374"/>
    <w:rsid w:val="00A12B3C"/>
    <w:rsid w:val="00A21710"/>
    <w:rsid w:val="00A2437D"/>
    <w:rsid w:val="00A31EA6"/>
    <w:rsid w:val="00A34992"/>
    <w:rsid w:val="00A92A07"/>
    <w:rsid w:val="00B34201"/>
    <w:rsid w:val="00B3669F"/>
    <w:rsid w:val="00B40A5C"/>
    <w:rsid w:val="00BE084D"/>
    <w:rsid w:val="00C54E43"/>
    <w:rsid w:val="00C574DB"/>
    <w:rsid w:val="00C62A28"/>
    <w:rsid w:val="00CD523A"/>
    <w:rsid w:val="00CE5BAD"/>
    <w:rsid w:val="00D03F2F"/>
    <w:rsid w:val="00D056A0"/>
    <w:rsid w:val="00D245F1"/>
    <w:rsid w:val="00D472D1"/>
    <w:rsid w:val="00E05804"/>
    <w:rsid w:val="00E67919"/>
    <w:rsid w:val="00ED2E65"/>
    <w:rsid w:val="00F11DD8"/>
    <w:rsid w:val="00F13F34"/>
    <w:rsid w:val="00F61C6D"/>
    <w:rsid w:val="00F75F57"/>
    <w:rsid w:val="00F84B74"/>
    <w:rsid w:val="00FB70DD"/>
    <w:rsid w:val="38F4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401</Words>
  <Characters>2286</Characters>
  <Lines>19</Lines>
  <Paragraphs>5</Paragraphs>
  <TotalTime>1</TotalTime>
  <ScaleCrop>false</ScaleCrop>
  <LinksUpToDate>false</LinksUpToDate>
  <CharactersWithSpaces>2682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2020-11-25T01:36:00Z</dcterms:created>
  <dc:creator>tek</dc:creator>
  <cp:lastModifiedBy>梁宣健</cp:lastModifiedBy>
  <dcterms:modified xsi:type="dcterms:W3CDTF">2021-12-03T03:51:29Z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C62CC0CCA6024143B8217967D5E37E4D</vt:lpwstr>
  </property>
</Properties>
</file>